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3" w:rsidRPr="00B54CE2" w:rsidRDefault="00343123" w:rsidP="00343123">
      <w:pPr>
        <w:pStyle w:val="2"/>
        <w:rPr>
          <w:szCs w:val="24"/>
        </w:rPr>
      </w:pPr>
      <w:r w:rsidRPr="00B54CE2">
        <w:rPr>
          <w:szCs w:val="24"/>
        </w:rPr>
        <w:t>ТРЕХСТОРОННЯЯ КОМИССИЯ</w:t>
      </w:r>
    </w:p>
    <w:p w:rsidR="00343123" w:rsidRPr="00B54CE2" w:rsidRDefault="00343123" w:rsidP="00343123">
      <w:pPr>
        <w:jc w:val="center"/>
        <w:rPr>
          <w:b/>
          <w:sz w:val="24"/>
          <w:szCs w:val="24"/>
        </w:rPr>
      </w:pPr>
      <w:r w:rsidRPr="00B54CE2">
        <w:rPr>
          <w:b/>
          <w:sz w:val="24"/>
          <w:szCs w:val="24"/>
        </w:rPr>
        <w:t>ПО РЕГУЛИРОВАНИЮ СОЦИАЛЬНО-ТРУДОВЫХ  ОТНОШЕНИЙ</w:t>
      </w:r>
    </w:p>
    <w:p w:rsidR="00343123" w:rsidRPr="00B54CE2" w:rsidRDefault="00343123" w:rsidP="00343123">
      <w:pPr>
        <w:jc w:val="center"/>
        <w:rPr>
          <w:b/>
          <w:sz w:val="24"/>
          <w:szCs w:val="24"/>
        </w:rPr>
      </w:pPr>
      <w:r w:rsidRPr="00B54CE2">
        <w:rPr>
          <w:b/>
          <w:sz w:val="24"/>
          <w:szCs w:val="24"/>
        </w:rPr>
        <w:t xml:space="preserve">В  КУДЫМКАРСКОМ  МУНИЦИПАЛЬНОМ  </w:t>
      </w:r>
      <w:r w:rsidR="00DE7FAD">
        <w:rPr>
          <w:b/>
          <w:sz w:val="24"/>
          <w:szCs w:val="24"/>
        </w:rPr>
        <w:t>ОКРУГЕ</w:t>
      </w:r>
    </w:p>
    <w:p w:rsidR="00343123" w:rsidRPr="00B54CE2" w:rsidRDefault="00343123" w:rsidP="00343123">
      <w:pPr>
        <w:rPr>
          <w:sz w:val="24"/>
          <w:szCs w:val="24"/>
        </w:rPr>
      </w:pPr>
    </w:p>
    <w:p w:rsidR="00343123" w:rsidRPr="00B54CE2" w:rsidRDefault="00343123" w:rsidP="00343123">
      <w:pPr>
        <w:jc w:val="center"/>
        <w:rPr>
          <w:b/>
          <w:sz w:val="24"/>
          <w:szCs w:val="24"/>
        </w:rPr>
      </w:pPr>
      <w:r w:rsidRPr="00B54CE2">
        <w:rPr>
          <w:b/>
          <w:sz w:val="24"/>
          <w:szCs w:val="24"/>
        </w:rPr>
        <w:t>П Р О Т О К О Л</w:t>
      </w:r>
    </w:p>
    <w:p w:rsidR="00343123" w:rsidRPr="00B54CE2" w:rsidRDefault="00343123" w:rsidP="00343123">
      <w:pPr>
        <w:rPr>
          <w:b/>
          <w:sz w:val="24"/>
          <w:szCs w:val="24"/>
        </w:rPr>
      </w:pPr>
    </w:p>
    <w:p w:rsidR="00343123" w:rsidRPr="00B54CE2" w:rsidRDefault="00615769" w:rsidP="00343123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2B586C">
        <w:rPr>
          <w:sz w:val="24"/>
          <w:szCs w:val="24"/>
        </w:rPr>
        <w:t>.0</w:t>
      </w:r>
      <w:r w:rsidR="00BD19B8">
        <w:rPr>
          <w:sz w:val="24"/>
          <w:szCs w:val="24"/>
        </w:rPr>
        <w:t>3</w:t>
      </w:r>
      <w:r w:rsidR="00A86C29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343123" w:rsidRPr="00B54CE2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343123">
        <w:rPr>
          <w:sz w:val="24"/>
          <w:szCs w:val="24"/>
        </w:rPr>
        <w:t xml:space="preserve">            №</w:t>
      </w:r>
      <w:r w:rsidR="00CA7E2F">
        <w:rPr>
          <w:sz w:val="24"/>
          <w:szCs w:val="24"/>
        </w:rPr>
        <w:t>1</w:t>
      </w:r>
    </w:p>
    <w:p w:rsidR="00343123" w:rsidRPr="00B54CE2" w:rsidRDefault="00343123" w:rsidP="00343123">
      <w:pPr>
        <w:rPr>
          <w:sz w:val="24"/>
          <w:szCs w:val="24"/>
        </w:rPr>
      </w:pPr>
    </w:p>
    <w:p w:rsidR="00343123" w:rsidRPr="001647A6" w:rsidRDefault="00343123" w:rsidP="001647A6">
      <w:pPr>
        <w:rPr>
          <w:sz w:val="24"/>
          <w:szCs w:val="24"/>
        </w:rPr>
      </w:pPr>
      <w:r w:rsidRPr="001647A6">
        <w:rPr>
          <w:b/>
          <w:sz w:val="24"/>
          <w:szCs w:val="24"/>
        </w:rPr>
        <w:t>Председательствовал:</w:t>
      </w:r>
      <w:r w:rsidRPr="001647A6">
        <w:rPr>
          <w:sz w:val="24"/>
          <w:szCs w:val="24"/>
        </w:rPr>
        <w:t xml:space="preserve"> </w:t>
      </w:r>
      <w:r w:rsidR="0052247C">
        <w:rPr>
          <w:sz w:val="24"/>
          <w:szCs w:val="24"/>
        </w:rPr>
        <w:t>Четина О.А.</w:t>
      </w:r>
      <w:r w:rsidRPr="001647A6">
        <w:rPr>
          <w:sz w:val="24"/>
          <w:szCs w:val="24"/>
        </w:rPr>
        <w:t>, координатор комиссии</w:t>
      </w:r>
    </w:p>
    <w:p w:rsidR="00343123" w:rsidRPr="001647A6" w:rsidRDefault="00343123" w:rsidP="001647A6">
      <w:pPr>
        <w:rPr>
          <w:b/>
          <w:sz w:val="24"/>
          <w:szCs w:val="24"/>
        </w:rPr>
      </w:pPr>
      <w:r w:rsidRPr="001647A6">
        <w:rPr>
          <w:b/>
          <w:sz w:val="24"/>
          <w:szCs w:val="24"/>
        </w:rPr>
        <w:t>Присутствовали члены комиссии:</w:t>
      </w:r>
    </w:p>
    <w:p w:rsidR="00B4577E" w:rsidRDefault="00343123" w:rsidP="00B4577E">
      <w:pPr>
        <w:rPr>
          <w:sz w:val="24"/>
          <w:szCs w:val="24"/>
        </w:rPr>
      </w:pPr>
      <w:r w:rsidRPr="001647A6">
        <w:rPr>
          <w:sz w:val="24"/>
          <w:szCs w:val="24"/>
        </w:rPr>
        <w:t>Со стороны органа местного самоуправления:</w:t>
      </w:r>
      <w:r w:rsidRPr="001647A6">
        <w:rPr>
          <w:i/>
          <w:sz w:val="24"/>
          <w:szCs w:val="24"/>
        </w:rPr>
        <w:t xml:space="preserve"> </w:t>
      </w:r>
    </w:p>
    <w:p w:rsidR="00CA7E2F" w:rsidRDefault="00CA7E2F" w:rsidP="00B4577E">
      <w:pPr>
        <w:rPr>
          <w:sz w:val="24"/>
          <w:szCs w:val="24"/>
        </w:rPr>
      </w:pPr>
      <w:r>
        <w:rPr>
          <w:sz w:val="24"/>
          <w:szCs w:val="24"/>
        </w:rPr>
        <w:t xml:space="preserve">Вилесова С.А.,  Коновалова С.А.,  Корниенко А.С.,  Михалев М.В.,  Нешатаева Ф.Е., </w:t>
      </w:r>
    </w:p>
    <w:p w:rsidR="00343123" w:rsidRPr="00B4577E" w:rsidRDefault="00B4577E" w:rsidP="00B4577E">
      <w:pPr>
        <w:rPr>
          <w:sz w:val="24"/>
          <w:szCs w:val="24"/>
        </w:rPr>
      </w:pPr>
      <w:r>
        <w:rPr>
          <w:sz w:val="24"/>
          <w:szCs w:val="24"/>
        </w:rPr>
        <w:t>Четина М.Н</w:t>
      </w:r>
      <w:r w:rsidR="00CA7E2F">
        <w:rPr>
          <w:sz w:val="24"/>
          <w:szCs w:val="24"/>
        </w:rPr>
        <w:t>.</w:t>
      </w:r>
    </w:p>
    <w:p w:rsidR="005C4EBA" w:rsidRDefault="00343123" w:rsidP="001647A6">
      <w:pPr>
        <w:rPr>
          <w:sz w:val="24"/>
          <w:szCs w:val="24"/>
        </w:rPr>
      </w:pPr>
      <w:r w:rsidRPr="001647A6">
        <w:rPr>
          <w:sz w:val="24"/>
          <w:szCs w:val="24"/>
        </w:rPr>
        <w:t>Со стороны работодателей:</w:t>
      </w:r>
      <w:r w:rsidRPr="001647A6">
        <w:rPr>
          <w:i/>
          <w:sz w:val="24"/>
          <w:szCs w:val="24"/>
        </w:rPr>
        <w:t xml:space="preserve"> </w:t>
      </w:r>
    </w:p>
    <w:p w:rsidR="00343123" w:rsidRPr="001647A6" w:rsidRDefault="00343123" w:rsidP="001647A6">
      <w:pPr>
        <w:rPr>
          <w:sz w:val="24"/>
          <w:szCs w:val="24"/>
        </w:rPr>
      </w:pPr>
      <w:r w:rsidRPr="001647A6">
        <w:rPr>
          <w:sz w:val="24"/>
          <w:szCs w:val="24"/>
        </w:rPr>
        <w:t xml:space="preserve">Нешатаева Л.В., </w:t>
      </w:r>
      <w:r w:rsidR="00CA7E2F">
        <w:rPr>
          <w:sz w:val="24"/>
          <w:szCs w:val="24"/>
        </w:rPr>
        <w:t xml:space="preserve">Нечаев В.Н., </w:t>
      </w:r>
      <w:r w:rsidR="00615769">
        <w:rPr>
          <w:sz w:val="24"/>
          <w:szCs w:val="24"/>
        </w:rPr>
        <w:t>Петров М.А.,</w:t>
      </w:r>
      <w:r w:rsidR="00B4577E">
        <w:rPr>
          <w:sz w:val="24"/>
          <w:szCs w:val="24"/>
        </w:rPr>
        <w:t xml:space="preserve"> </w:t>
      </w:r>
      <w:r w:rsidR="00CA7E2F">
        <w:rPr>
          <w:sz w:val="24"/>
          <w:szCs w:val="24"/>
        </w:rPr>
        <w:t>Трушников М.Н.</w:t>
      </w:r>
    </w:p>
    <w:p w:rsidR="00343123" w:rsidRPr="001647A6" w:rsidRDefault="00343123" w:rsidP="001647A6">
      <w:pPr>
        <w:rPr>
          <w:sz w:val="24"/>
          <w:szCs w:val="24"/>
        </w:rPr>
      </w:pPr>
      <w:r w:rsidRPr="001647A6">
        <w:rPr>
          <w:sz w:val="24"/>
          <w:szCs w:val="24"/>
        </w:rPr>
        <w:t>Со стороны профсоюзов:</w:t>
      </w:r>
    </w:p>
    <w:p w:rsidR="00343123" w:rsidRPr="001647A6" w:rsidRDefault="00343123" w:rsidP="001647A6">
      <w:pPr>
        <w:rPr>
          <w:sz w:val="24"/>
          <w:szCs w:val="24"/>
        </w:rPr>
      </w:pPr>
      <w:r w:rsidRPr="001647A6">
        <w:rPr>
          <w:sz w:val="24"/>
          <w:szCs w:val="24"/>
        </w:rPr>
        <w:t xml:space="preserve">Снигирева Т.И., </w:t>
      </w:r>
      <w:r w:rsidR="009E4483">
        <w:rPr>
          <w:sz w:val="24"/>
          <w:szCs w:val="24"/>
        </w:rPr>
        <w:t xml:space="preserve"> Денисова М.Г., Канюкова Г.В.</w:t>
      </w:r>
      <w:r w:rsidR="00E40C83">
        <w:rPr>
          <w:sz w:val="24"/>
          <w:szCs w:val="24"/>
        </w:rPr>
        <w:t>, Яркова П.И.</w:t>
      </w:r>
    </w:p>
    <w:p w:rsidR="00343123" w:rsidRPr="007203E7" w:rsidRDefault="00343123" w:rsidP="00221D62">
      <w:pPr>
        <w:tabs>
          <w:tab w:val="num" w:pos="0"/>
        </w:tabs>
        <w:rPr>
          <w:sz w:val="24"/>
          <w:szCs w:val="24"/>
        </w:rPr>
      </w:pPr>
      <w:r w:rsidRPr="001647A6">
        <w:rPr>
          <w:sz w:val="24"/>
          <w:szCs w:val="24"/>
        </w:rPr>
        <w:t xml:space="preserve">Секретарь комиссии: Снигирева Т.И. </w:t>
      </w:r>
    </w:p>
    <w:p w:rsidR="00343123" w:rsidRPr="001647A6" w:rsidRDefault="00615769" w:rsidP="00615769">
      <w:pPr>
        <w:rPr>
          <w:sz w:val="24"/>
          <w:szCs w:val="24"/>
        </w:rPr>
      </w:pPr>
      <w:r>
        <w:rPr>
          <w:sz w:val="24"/>
          <w:szCs w:val="24"/>
        </w:rPr>
        <w:t>Приглашенные: Гусельников Е.Н., Власова Н.И., Ермаков В.И., Кольчурин В.А.</w:t>
      </w:r>
      <w:r w:rsidR="00343123" w:rsidRPr="001647A6">
        <w:rPr>
          <w:sz w:val="24"/>
          <w:szCs w:val="24"/>
        </w:rPr>
        <w:t xml:space="preserve"> </w:t>
      </w:r>
    </w:p>
    <w:p w:rsidR="00615769" w:rsidRDefault="00615769" w:rsidP="00E5240F">
      <w:pPr>
        <w:jc w:val="center"/>
        <w:rPr>
          <w:b/>
          <w:sz w:val="24"/>
          <w:szCs w:val="24"/>
        </w:rPr>
      </w:pPr>
    </w:p>
    <w:p w:rsidR="00343123" w:rsidRDefault="00343123" w:rsidP="00E5240F">
      <w:pPr>
        <w:jc w:val="center"/>
        <w:rPr>
          <w:b/>
          <w:sz w:val="24"/>
          <w:szCs w:val="24"/>
        </w:rPr>
      </w:pPr>
      <w:r w:rsidRPr="001647A6">
        <w:rPr>
          <w:b/>
          <w:sz w:val="24"/>
          <w:szCs w:val="24"/>
        </w:rPr>
        <w:t>Повестка дня</w:t>
      </w:r>
    </w:p>
    <w:p w:rsidR="00B4577E" w:rsidRPr="00B4577E" w:rsidRDefault="00B4577E" w:rsidP="00E5240F">
      <w:pPr>
        <w:jc w:val="center"/>
        <w:rPr>
          <w:b/>
          <w:sz w:val="16"/>
          <w:szCs w:val="16"/>
        </w:rPr>
      </w:pPr>
    </w:p>
    <w:p w:rsidR="00615769" w:rsidRPr="00615769" w:rsidRDefault="00615769" w:rsidP="00615769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Pr="00615769">
        <w:rPr>
          <w:sz w:val="24"/>
          <w:szCs w:val="24"/>
        </w:rPr>
        <w:t>О ситуации на рынке труда и уровне безработицы в  Кудымкарском муниципальном округе.</w:t>
      </w:r>
    </w:p>
    <w:p w:rsidR="00615769" w:rsidRPr="00615769" w:rsidRDefault="00615769" w:rsidP="00615769">
      <w:pPr>
        <w:rPr>
          <w:sz w:val="24"/>
          <w:szCs w:val="24"/>
        </w:rPr>
      </w:pPr>
      <w:r w:rsidRPr="00615769">
        <w:rPr>
          <w:i/>
          <w:sz w:val="24"/>
          <w:szCs w:val="24"/>
        </w:rPr>
        <w:t xml:space="preserve">                      Докладчик: </w:t>
      </w:r>
      <w:r w:rsidRPr="00615769">
        <w:rPr>
          <w:sz w:val="24"/>
          <w:szCs w:val="24"/>
          <w:u w:val="single"/>
        </w:rPr>
        <w:t xml:space="preserve">Нешатаева Ф.Е., </w:t>
      </w:r>
      <w:r w:rsidRPr="00615769">
        <w:rPr>
          <w:sz w:val="24"/>
          <w:szCs w:val="24"/>
        </w:rPr>
        <w:t xml:space="preserve">начальник территориального отдела по    </w:t>
      </w:r>
    </w:p>
    <w:p w:rsidR="00615769" w:rsidRPr="00615769" w:rsidRDefault="00615769" w:rsidP="00615769">
      <w:pPr>
        <w:rPr>
          <w:sz w:val="24"/>
          <w:szCs w:val="24"/>
        </w:rPr>
      </w:pPr>
      <w:r w:rsidRPr="00615769">
        <w:rPr>
          <w:sz w:val="24"/>
          <w:szCs w:val="24"/>
        </w:rPr>
        <w:t xml:space="preserve">                                           г.Кудымкару ГКУ ЦЗН Пермского края 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sz w:val="24"/>
          <w:szCs w:val="24"/>
        </w:rPr>
        <w:t>2.Об исполнении постановления Главного государственного санитарного врача по Пермскому краю от 13 июля 2021 года № 206 (в ред. от  25.10.2021 №402)  «О проведении  профилактических прививок  отдельным  группам  граждан  по эпидемическим  показаниям».</w:t>
      </w:r>
    </w:p>
    <w:p w:rsidR="00615769" w:rsidRPr="00615769" w:rsidRDefault="00615769" w:rsidP="00615769">
      <w:pPr>
        <w:rPr>
          <w:sz w:val="24"/>
          <w:szCs w:val="24"/>
        </w:rPr>
      </w:pPr>
      <w:r w:rsidRPr="00615769">
        <w:rPr>
          <w:i/>
          <w:sz w:val="24"/>
          <w:szCs w:val="24"/>
        </w:rPr>
        <w:t xml:space="preserve">                      Докладчик: </w:t>
      </w:r>
      <w:r w:rsidRPr="00615769">
        <w:rPr>
          <w:sz w:val="24"/>
          <w:szCs w:val="24"/>
          <w:u w:val="single"/>
        </w:rPr>
        <w:t>Уточкин И.А</w:t>
      </w:r>
      <w:r w:rsidRPr="00615769">
        <w:rPr>
          <w:sz w:val="24"/>
          <w:szCs w:val="24"/>
        </w:rPr>
        <w:t xml:space="preserve">., заместитель главного врача по сельскому </w:t>
      </w:r>
    </w:p>
    <w:p w:rsidR="00615769" w:rsidRPr="00615769" w:rsidRDefault="00615769" w:rsidP="00615769">
      <w:pPr>
        <w:rPr>
          <w:sz w:val="24"/>
          <w:szCs w:val="24"/>
        </w:rPr>
      </w:pPr>
      <w:r w:rsidRPr="00615769">
        <w:rPr>
          <w:sz w:val="24"/>
          <w:szCs w:val="24"/>
        </w:rPr>
        <w:t xml:space="preserve">                                          здравоохранению ГБУЗ ПК «Больница Коми-Пермяцкого округа», 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sz w:val="24"/>
          <w:szCs w:val="24"/>
          <w:u w:val="single"/>
        </w:rPr>
        <w:t xml:space="preserve">руководители сельско-хозяйственных предприятий и предприятий торговли и общественного питания </w:t>
      </w:r>
      <w:r w:rsidRPr="00615769">
        <w:rPr>
          <w:sz w:val="24"/>
          <w:szCs w:val="24"/>
        </w:rPr>
        <w:t>(Петров М.В., Трушников М.Н., Копытов С.Г., Власова Н.И., Кольчурин В.А., Ермаков В.И.)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sz w:val="24"/>
          <w:szCs w:val="24"/>
        </w:rPr>
        <w:t>3. О реализации закона Пермского края от 04.09.2017 г. № 121-ПК (в ред. от 10.09.2020 №559-ПК «Об обеспечении работников государственных и муниципальных учреждений Пермского края путёвками на санаторно-курортное лечение и оздоровление».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i/>
          <w:sz w:val="24"/>
          <w:szCs w:val="24"/>
        </w:rPr>
        <w:t xml:space="preserve">Докладчики: </w:t>
      </w:r>
      <w:r w:rsidRPr="00615769">
        <w:rPr>
          <w:sz w:val="24"/>
          <w:szCs w:val="24"/>
          <w:u w:val="single"/>
        </w:rPr>
        <w:t>Четина О.А.</w:t>
      </w:r>
      <w:r w:rsidRPr="00615769">
        <w:rPr>
          <w:sz w:val="24"/>
          <w:szCs w:val="24"/>
        </w:rPr>
        <w:t xml:space="preserve"> , заместитель главы  муниципального округа – главы администрации муниципального округа по социальному развитию   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sz w:val="24"/>
          <w:szCs w:val="24"/>
          <w:u w:val="single"/>
        </w:rPr>
        <w:t>Снигирева Т.И.,</w:t>
      </w:r>
      <w:r w:rsidRPr="00615769">
        <w:rPr>
          <w:sz w:val="24"/>
          <w:szCs w:val="24"/>
        </w:rPr>
        <w:t xml:space="preserve"> председатель координационного совета организаций профсоюзов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sz w:val="24"/>
          <w:szCs w:val="24"/>
        </w:rPr>
        <w:t>4. О ходе подготовки и проведения детской оздоровительной кампании на территории муниципального округа.  О взаимодействии органов местного самоуправления, работодателей и органов службы занятости по вопросу организации и финансирования временной занятости несовершеннолетних граждан в возрасте от 14 до 18 лет в период летних каникул.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i/>
          <w:sz w:val="24"/>
          <w:szCs w:val="24"/>
        </w:rPr>
        <w:t xml:space="preserve">Докладчики: </w:t>
      </w:r>
      <w:r w:rsidRPr="00615769">
        <w:rPr>
          <w:sz w:val="24"/>
          <w:szCs w:val="24"/>
          <w:u w:val="single"/>
        </w:rPr>
        <w:t>Четина О.А.,</w:t>
      </w:r>
      <w:r w:rsidRPr="00615769">
        <w:rPr>
          <w:sz w:val="24"/>
          <w:szCs w:val="24"/>
        </w:rPr>
        <w:t xml:space="preserve">  заместитель главы  муниципального округа – главы администрации муниципального округа по социальному развитию    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sz w:val="24"/>
          <w:szCs w:val="24"/>
          <w:u w:val="single"/>
        </w:rPr>
        <w:t>Нешатаева Ф.Е.,</w:t>
      </w:r>
      <w:r w:rsidRPr="00615769">
        <w:rPr>
          <w:sz w:val="24"/>
          <w:szCs w:val="24"/>
        </w:rPr>
        <w:t xml:space="preserve"> начальник территориального отдела по г. Кудымкару ГКУ ЦЗН Пермского края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sz w:val="24"/>
          <w:szCs w:val="24"/>
          <w:u w:val="single"/>
        </w:rPr>
        <w:t>Корниенко А.С.,</w:t>
      </w:r>
      <w:r w:rsidRPr="00615769">
        <w:rPr>
          <w:sz w:val="24"/>
          <w:szCs w:val="24"/>
        </w:rPr>
        <w:t xml:space="preserve"> начальник Управления образования 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sz w:val="24"/>
          <w:szCs w:val="24"/>
        </w:rPr>
        <w:lastRenderedPageBreak/>
        <w:t>5. О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2022 год</w:t>
      </w:r>
    </w:p>
    <w:p w:rsidR="00615769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i/>
          <w:sz w:val="24"/>
          <w:szCs w:val="24"/>
        </w:rPr>
        <w:t>Докладчик:</w:t>
      </w:r>
      <w:r w:rsidRPr="00615769">
        <w:rPr>
          <w:sz w:val="24"/>
          <w:szCs w:val="24"/>
          <w:u w:val="single"/>
        </w:rPr>
        <w:t xml:space="preserve"> Снигирева Т.И.,</w:t>
      </w:r>
      <w:r w:rsidRPr="00615769">
        <w:rPr>
          <w:sz w:val="24"/>
          <w:szCs w:val="24"/>
        </w:rPr>
        <w:t xml:space="preserve"> председатель координационного совета организаций профсоюзов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sz w:val="24"/>
          <w:szCs w:val="24"/>
        </w:rPr>
        <w:t>6. О перспективах развития транспортного обслуживания населения в Кудымкарском муниципальном округе в 2022 году</w:t>
      </w:r>
    </w:p>
    <w:p w:rsidR="00221D62" w:rsidRPr="00615769" w:rsidRDefault="00615769" w:rsidP="00615769">
      <w:pPr>
        <w:ind w:left="2552"/>
        <w:rPr>
          <w:sz w:val="24"/>
          <w:szCs w:val="24"/>
        </w:rPr>
      </w:pPr>
      <w:r w:rsidRPr="00615769">
        <w:rPr>
          <w:sz w:val="24"/>
          <w:szCs w:val="24"/>
          <w:u w:val="single"/>
        </w:rPr>
        <w:t>Гусельников Е.Н.,</w:t>
      </w:r>
      <w:r w:rsidRPr="00615769">
        <w:rPr>
          <w:sz w:val="24"/>
          <w:szCs w:val="24"/>
        </w:rPr>
        <w:t xml:space="preserve"> заместитель главы муниципального округа-главы администрации  муниципального округа по </w:t>
      </w:r>
      <w:r w:rsidRPr="00615769">
        <w:rPr>
          <w:bCs/>
          <w:color w:val="000000"/>
          <w:sz w:val="24"/>
          <w:szCs w:val="24"/>
        </w:rPr>
        <w:t>э</w:t>
      </w:r>
      <w:r w:rsidRPr="00615769">
        <w:rPr>
          <w:sz w:val="24"/>
          <w:szCs w:val="24"/>
        </w:rPr>
        <w:t>кономичес</w:t>
      </w:r>
      <w:r w:rsidRPr="00615769">
        <w:rPr>
          <w:sz w:val="24"/>
          <w:szCs w:val="24"/>
        </w:rPr>
        <w:t>кому развитию</w:t>
      </w:r>
    </w:p>
    <w:p w:rsidR="00615769" w:rsidRDefault="003E3BBF" w:rsidP="003E3B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15769" w:rsidRPr="00C4627B" w:rsidRDefault="00615769" w:rsidP="00615769">
      <w:pPr>
        <w:pStyle w:val="a3"/>
        <w:ind w:left="0" w:firstLine="426"/>
        <w:jc w:val="both"/>
      </w:pPr>
      <w:r>
        <w:rPr>
          <w:b/>
        </w:rPr>
        <w:t xml:space="preserve">     </w:t>
      </w:r>
      <w:r w:rsidR="00221D62" w:rsidRPr="00A86C29">
        <w:rPr>
          <w:b/>
        </w:rPr>
        <w:t xml:space="preserve">По первому вопросу </w:t>
      </w:r>
      <w:r w:rsidR="00B4577E" w:rsidRPr="00A86C29">
        <w:rPr>
          <w:b/>
        </w:rPr>
        <w:t>«</w:t>
      </w:r>
      <w:r w:rsidRPr="00615769">
        <w:rPr>
          <w:b/>
        </w:rPr>
        <w:t>О ситуации на рынке труда и уровне безработицы в  Кудымкарском муниципальном округе</w:t>
      </w:r>
      <w:r>
        <w:t>»</w:t>
      </w:r>
      <w:r w:rsidRPr="00615769">
        <w:t xml:space="preserve"> </w:t>
      </w:r>
      <w:r w:rsidRPr="00C4627B">
        <w:t xml:space="preserve">слушали </w:t>
      </w:r>
      <w:r w:rsidRPr="00C4627B">
        <w:rPr>
          <w:b/>
        </w:rPr>
        <w:t xml:space="preserve"> </w:t>
      </w:r>
      <w:r w:rsidRPr="00C4627B">
        <w:t>Нешатаеву Ф.Е., начальника территориального отдела по г. Кудымкару ГКУ ЦЗН Пермского края.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color w:val="FF0000"/>
          <w:sz w:val="24"/>
          <w:szCs w:val="24"/>
        </w:rPr>
        <w:t xml:space="preserve">            </w:t>
      </w:r>
      <w:r w:rsidRPr="00615769">
        <w:rPr>
          <w:sz w:val="24"/>
          <w:szCs w:val="24"/>
        </w:rPr>
        <w:t xml:space="preserve">Деятельность ГКУ ЦЗН г. Кудымкара в 2021 году,  как и прежде, была направлена на оказание государственных услуг и выполнение целевых показателей, установленных Министерством социального развития Пермского края по основным направлениям активной политики занятости. </w:t>
      </w:r>
    </w:p>
    <w:p w:rsidR="00615769" w:rsidRPr="00615769" w:rsidRDefault="00615769" w:rsidP="00615769">
      <w:pPr>
        <w:ind w:firstLine="709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Первоочередными задачами службы занятости продолжают оставаться содействие гражданам  в поиске подходящей работы, а работодателям - в подборе необходимых работников.  Данная деятельность в  2021 году проходила в условиях ограничений, связанных с  </w:t>
      </w:r>
      <w:r w:rsidRPr="00615769">
        <w:rPr>
          <w:sz w:val="24"/>
          <w:szCs w:val="24"/>
          <w:lang w:val="en-US"/>
        </w:rPr>
        <w:t>COVID</w:t>
      </w:r>
      <w:r w:rsidRPr="00615769">
        <w:rPr>
          <w:sz w:val="24"/>
          <w:szCs w:val="24"/>
        </w:rPr>
        <w:t>-19,  и  в  основном  с клиентами осуществлялась в режиме онлайн.</w:t>
      </w:r>
    </w:p>
    <w:p w:rsidR="00615769" w:rsidRPr="00615769" w:rsidRDefault="00615769" w:rsidP="00615769">
      <w:pPr>
        <w:jc w:val="both"/>
        <w:rPr>
          <w:color w:val="FF0000"/>
          <w:sz w:val="24"/>
          <w:szCs w:val="24"/>
        </w:rPr>
      </w:pPr>
      <w:r w:rsidRPr="00615769">
        <w:rPr>
          <w:color w:val="FF0000"/>
          <w:sz w:val="24"/>
          <w:szCs w:val="24"/>
        </w:rPr>
        <w:t xml:space="preserve">           </w:t>
      </w:r>
      <w:r w:rsidRPr="00615769">
        <w:rPr>
          <w:sz w:val="24"/>
          <w:szCs w:val="24"/>
        </w:rPr>
        <w:t xml:space="preserve">В 2021 году обратились в службу занятости 1024 человека, из них 596 в возрасте от 30 до 54 лет. При том 59% от числа обратившихся  – ранее не работающие граждане, имеющие несовершеннолетних детей.  Признаны безработными были 674 человека, 296 из которых (44,9%) не имеют специального образования. </w:t>
      </w:r>
      <w:r w:rsidRPr="00615769">
        <w:rPr>
          <w:color w:val="FF0000"/>
          <w:sz w:val="24"/>
          <w:szCs w:val="24"/>
        </w:rPr>
        <w:t xml:space="preserve"> </w:t>
      </w:r>
    </w:p>
    <w:p w:rsidR="00615769" w:rsidRPr="00615769" w:rsidRDefault="00615769" w:rsidP="00615769">
      <w:pPr>
        <w:jc w:val="both"/>
        <w:rPr>
          <w:color w:val="FF0000"/>
          <w:sz w:val="24"/>
          <w:szCs w:val="24"/>
        </w:rPr>
      </w:pPr>
      <w:r w:rsidRPr="00615769">
        <w:rPr>
          <w:sz w:val="24"/>
          <w:szCs w:val="24"/>
        </w:rPr>
        <w:t xml:space="preserve">           По состоянию на </w:t>
      </w:r>
      <w:r w:rsidRPr="00615769">
        <w:rPr>
          <w:bCs/>
          <w:sz w:val="24"/>
          <w:szCs w:val="24"/>
        </w:rPr>
        <w:t xml:space="preserve"> 01.03.2022 уровень безработицы в </w:t>
      </w:r>
      <w:r w:rsidRPr="00615769">
        <w:rPr>
          <w:sz w:val="24"/>
          <w:szCs w:val="24"/>
        </w:rPr>
        <w:t>Кудымкарском муниципальном округе составил 1,3 %,</w:t>
      </w:r>
      <w:r w:rsidRPr="00615769">
        <w:rPr>
          <w:color w:val="FF0000"/>
          <w:sz w:val="24"/>
          <w:szCs w:val="24"/>
        </w:rPr>
        <w:t xml:space="preserve"> </w:t>
      </w:r>
      <w:r w:rsidRPr="00615769">
        <w:rPr>
          <w:sz w:val="24"/>
          <w:szCs w:val="24"/>
        </w:rPr>
        <w:t>что в два раза меньше уровня 2021 года.</w:t>
      </w:r>
      <w:r w:rsidRPr="00615769">
        <w:rPr>
          <w:color w:val="FF0000"/>
          <w:sz w:val="24"/>
          <w:szCs w:val="24"/>
        </w:rPr>
        <w:t xml:space="preserve">  </w:t>
      </w:r>
      <w:r w:rsidRPr="00615769">
        <w:rPr>
          <w:sz w:val="24"/>
          <w:szCs w:val="24"/>
        </w:rPr>
        <w:t>На учете на указанный период состояли 122  безработных, против 271 человека на 01.01.2021 года.</w:t>
      </w:r>
      <w:r w:rsidRPr="00615769">
        <w:rPr>
          <w:color w:val="FF0000"/>
          <w:sz w:val="24"/>
          <w:szCs w:val="24"/>
        </w:rPr>
        <w:t xml:space="preserve">    </w:t>
      </w:r>
    </w:p>
    <w:p w:rsidR="00615769" w:rsidRPr="00615769" w:rsidRDefault="00615769" w:rsidP="00615769">
      <w:pPr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     В 2020 году 60 работодателями муниципального округа было подано в службу занятости 789 вакансий.</w:t>
      </w:r>
      <w:r w:rsidRPr="00615769">
        <w:rPr>
          <w:color w:val="FF0000"/>
          <w:sz w:val="24"/>
          <w:szCs w:val="24"/>
        </w:rPr>
        <w:t xml:space="preserve">   </w:t>
      </w:r>
      <w:r w:rsidRPr="00615769">
        <w:rPr>
          <w:sz w:val="24"/>
          <w:szCs w:val="24"/>
        </w:rPr>
        <w:t>На конец года в ЦЗН  имелось 137 свободных вакансий от 42 работодателей.</w:t>
      </w:r>
      <w:r w:rsidRPr="00615769">
        <w:rPr>
          <w:color w:val="FF0000"/>
          <w:sz w:val="24"/>
          <w:szCs w:val="24"/>
        </w:rPr>
        <w:t xml:space="preserve"> </w:t>
      </w:r>
      <w:r w:rsidRPr="00615769">
        <w:rPr>
          <w:sz w:val="24"/>
          <w:szCs w:val="24"/>
        </w:rPr>
        <w:t>В списке  наиболее  востребованных специалистов педагоги, водители категории «Д»,</w:t>
      </w:r>
      <w:r w:rsidRPr="00615769">
        <w:rPr>
          <w:color w:val="FF0000"/>
          <w:sz w:val="24"/>
          <w:szCs w:val="24"/>
        </w:rPr>
        <w:t xml:space="preserve">  </w:t>
      </w:r>
      <w:r w:rsidRPr="00615769">
        <w:rPr>
          <w:sz w:val="24"/>
          <w:szCs w:val="24"/>
        </w:rPr>
        <w:t xml:space="preserve">рабочие в сельскохозяйственной, лесозаготовительной и деревообрабатывающей отраслях.         </w:t>
      </w:r>
    </w:p>
    <w:p w:rsidR="00615769" w:rsidRPr="00615769" w:rsidRDefault="00615769" w:rsidP="00615769">
      <w:pPr>
        <w:tabs>
          <w:tab w:val="left" w:pos="9355"/>
        </w:tabs>
        <w:ind w:right="-1"/>
        <w:jc w:val="both"/>
        <w:rPr>
          <w:bCs/>
          <w:sz w:val="24"/>
          <w:szCs w:val="24"/>
        </w:rPr>
      </w:pPr>
      <w:r w:rsidRPr="00615769">
        <w:rPr>
          <w:sz w:val="24"/>
          <w:szCs w:val="24"/>
        </w:rPr>
        <w:t xml:space="preserve">          За 12 месяцев 2021 года 581 человек был трудоустроен, 65   человек - направлены на переобучение,</w:t>
      </w:r>
      <w:r w:rsidRPr="00615769">
        <w:rPr>
          <w:color w:val="FF0000"/>
          <w:sz w:val="24"/>
          <w:szCs w:val="24"/>
        </w:rPr>
        <w:t xml:space="preserve"> </w:t>
      </w:r>
      <w:r w:rsidRPr="00615769">
        <w:rPr>
          <w:sz w:val="24"/>
          <w:szCs w:val="24"/>
        </w:rPr>
        <w:t xml:space="preserve">374 человека по разным причинам сняты с учета, в т.ч.  142 в связи с длительным непосещением службы занятости.   </w:t>
      </w:r>
    </w:p>
    <w:p w:rsidR="00615769" w:rsidRPr="00615769" w:rsidRDefault="00615769" w:rsidP="00615769">
      <w:pPr>
        <w:tabs>
          <w:tab w:val="left" w:pos="9355"/>
        </w:tabs>
        <w:ind w:right="-1"/>
        <w:jc w:val="both"/>
        <w:rPr>
          <w:color w:val="FF0000"/>
          <w:sz w:val="24"/>
          <w:szCs w:val="24"/>
        </w:rPr>
      </w:pPr>
      <w:r w:rsidRPr="00615769">
        <w:rPr>
          <w:color w:val="FF0000"/>
          <w:sz w:val="24"/>
          <w:szCs w:val="24"/>
        </w:rPr>
        <w:t xml:space="preserve">          </w:t>
      </w:r>
      <w:r w:rsidRPr="00615769">
        <w:rPr>
          <w:sz w:val="24"/>
          <w:szCs w:val="24"/>
        </w:rPr>
        <w:t xml:space="preserve">По состоянию на </w:t>
      </w:r>
      <w:r w:rsidRPr="00615769">
        <w:rPr>
          <w:bCs/>
          <w:sz w:val="24"/>
          <w:szCs w:val="24"/>
        </w:rPr>
        <w:t xml:space="preserve"> 01.03.2022 года на учете состоят 122 безработных при наличии 131 вакансии. </w:t>
      </w:r>
      <w:r w:rsidRPr="00615769">
        <w:rPr>
          <w:color w:val="FF0000"/>
          <w:sz w:val="24"/>
          <w:szCs w:val="24"/>
        </w:rPr>
        <w:t xml:space="preserve"> 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   Заслушав  информацию о состоянии занятости населения в Кудымкарском муниципальном округе (по итогам 2020 года и 1 квартала 2021 года) и  реализации мероприятий, направленных на снижении напряженности на рынке труда в 2021 году,   трехсторонняя комиссия  по регулированию социально-трудовых отношений </w:t>
      </w:r>
      <w:r w:rsidRPr="00B056DF">
        <w:rPr>
          <w:sz w:val="24"/>
          <w:szCs w:val="24"/>
        </w:rPr>
        <w:t>решила:</w:t>
      </w:r>
      <w:r w:rsidRPr="00615769">
        <w:rPr>
          <w:sz w:val="24"/>
          <w:szCs w:val="24"/>
        </w:rPr>
        <w:t xml:space="preserve"> 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1. Информацию начальника территориального отдела по г.Кудымкару ГКУ ЦЗН   Пермского края  в г.Кудымкаре  Нешатаевой Ф.Е.  принять к сведению. 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2. Считать одной из основных задач системы социального партнерства  реализацию согласованных  мер по улучшению ситуации на рынке труда, способствующих сохранению рабочих мест, снижению социальной напряженности в коллективах, содействию занятости, недопущению массового высвобождения работников, защите их трудовых прав.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3.</w:t>
      </w:r>
      <w:r w:rsidRPr="00615769">
        <w:rPr>
          <w:b/>
          <w:sz w:val="24"/>
          <w:szCs w:val="24"/>
        </w:rPr>
        <w:t xml:space="preserve"> </w:t>
      </w:r>
      <w:r w:rsidRPr="00615769">
        <w:rPr>
          <w:sz w:val="24"/>
          <w:szCs w:val="24"/>
        </w:rPr>
        <w:t>Рекомендовать: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  <w:u w:val="single"/>
        </w:rPr>
      </w:pPr>
      <w:r w:rsidRPr="00615769">
        <w:rPr>
          <w:sz w:val="24"/>
          <w:szCs w:val="24"/>
        </w:rPr>
        <w:t xml:space="preserve">    3.1. </w:t>
      </w:r>
      <w:r w:rsidRPr="00615769">
        <w:rPr>
          <w:sz w:val="24"/>
          <w:szCs w:val="24"/>
          <w:u w:val="single"/>
        </w:rPr>
        <w:t>Сторонам социального партнерства: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3.1.1.совместно вырабатывать и реализовывать меры, направленные на поддержку социально-ответственного бизнеса, создание и сохранение рабочих мест в организациях   муниципального округа, обеспечение самозанятости населения;  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lastRenderedPageBreak/>
        <w:t xml:space="preserve">     3.2.. ГКУ ЦЗН   Пермского края в г.Кудымакаре  (Нешатаева Ф.Е.):   </w:t>
      </w:r>
    </w:p>
    <w:p w:rsidR="00615769" w:rsidRPr="00615769" w:rsidRDefault="00615769" w:rsidP="00615769">
      <w:pPr>
        <w:ind w:right="-1"/>
        <w:jc w:val="both"/>
        <w:rPr>
          <w:color w:val="000000" w:themeColor="text1"/>
          <w:kern w:val="24"/>
          <w:sz w:val="24"/>
          <w:szCs w:val="24"/>
        </w:rPr>
      </w:pPr>
      <w:r w:rsidRPr="00615769">
        <w:rPr>
          <w:color w:val="000000" w:themeColor="text1"/>
          <w:kern w:val="24"/>
          <w:sz w:val="24"/>
          <w:szCs w:val="24"/>
        </w:rPr>
        <w:t xml:space="preserve">     3.2.1.  Продолжить работу по переобучению безработных граждан под гарантированное  трудоустройство;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3.3..Управлению экономики администрации  муниципального округа:</w:t>
      </w:r>
    </w:p>
    <w:p w:rsidR="00615769" w:rsidRPr="00615769" w:rsidRDefault="00615769" w:rsidP="00615769">
      <w:pPr>
        <w:tabs>
          <w:tab w:val="left" w:pos="9355"/>
        </w:tabs>
        <w:ind w:right="-1"/>
        <w:jc w:val="both"/>
        <w:rPr>
          <w:sz w:val="24"/>
          <w:szCs w:val="24"/>
        </w:rPr>
      </w:pPr>
      <w:r w:rsidRPr="00615769">
        <w:rPr>
          <w:color w:val="000000" w:themeColor="text1"/>
          <w:kern w:val="24"/>
          <w:sz w:val="24"/>
          <w:szCs w:val="24"/>
        </w:rPr>
        <w:t xml:space="preserve">    3.3.1. усилить работу по легализации трудовой занятости граждан.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3.3.2. совместно   с    работодателями    и    профсоюзами   продолжить работу по проведению мониторинга высвобождения работников из организаций муниципального округа с последующим  анализом  ситуации и принятием  мер по ее улучшению.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3.4. Работодателям:</w:t>
      </w:r>
    </w:p>
    <w:p w:rsidR="00615769" w:rsidRPr="00615769" w:rsidRDefault="00615769" w:rsidP="00615769">
      <w:pPr>
        <w:ind w:right="-1"/>
        <w:jc w:val="both"/>
        <w:rPr>
          <w:color w:val="000000" w:themeColor="text1"/>
          <w:kern w:val="24"/>
          <w:sz w:val="24"/>
          <w:szCs w:val="24"/>
        </w:rPr>
      </w:pPr>
      <w:r w:rsidRPr="00615769">
        <w:rPr>
          <w:color w:val="000000" w:themeColor="text1"/>
          <w:kern w:val="24"/>
          <w:sz w:val="24"/>
          <w:szCs w:val="24"/>
        </w:rPr>
        <w:t xml:space="preserve">    3.4..1. продолжить работу по регистрации на портале «Работа в России» и подаче  вакансий в Службу занятости;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3.4.2..обеспечить действенную связь со службой занятости населения в реализации программ активной политики занятости (организация общественных работ, организация временного трудоустройства безработных граждан, испытывающих  трудности в поиске работы, выпускников СПО и НПО, несовершеннолетних граждан в возрасте от 14 до 18 лет в свободное от учебы время);    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3.5. Работодателям и профсоюзным организациям: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3.5.1.продолжить    работу   по  решению проблем в сфере социально-трудовых отношений в организациях на принципах социального партнерства путем коллективно-договорного  регулирования;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3.5.2.предусматривать в коллективных договорах предупредительные меры по переобучению и переквалификации работников, попадающих под сокращение, и граждан предпенсионного возраста. 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3.6.Профессиональным союзам: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3.6.1. продолжить разъяснительную работу в области трудовых прав работников;</w:t>
      </w:r>
    </w:p>
    <w:p w:rsidR="00615769" w:rsidRPr="00615769" w:rsidRDefault="00615769" w:rsidP="00615769">
      <w:pPr>
        <w:ind w:right="-1"/>
        <w:jc w:val="both"/>
        <w:rPr>
          <w:sz w:val="24"/>
          <w:szCs w:val="24"/>
        </w:rPr>
      </w:pPr>
      <w:r w:rsidRPr="00615769">
        <w:rPr>
          <w:sz w:val="24"/>
          <w:szCs w:val="24"/>
        </w:rPr>
        <w:t xml:space="preserve">     3.6.2. стимулировать, в том числе через практику коллективно-договорных отношений, социально-ответственное поведение работодателей, обеспечивать оперативное выявление  фактов необоснованного высвобождения работников,  нарушений прав работников в процессе высвобождения, добиваться принятия мер по устранению выявленных нарушений.</w:t>
      </w:r>
    </w:p>
    <w:p w:rsidR="00A86C29" w:rsidRPr="00FB6C9D" w:rsidRDefault="00615769" w:rsidP="00615769">
      <w:pPr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:rsidR="00615769" w:rsidRPr="00615769" w:rsidRDefault="00905C05" w:rsidP="00615769">
      <w:pPr>
        <w:jc w:val="both"/>
        <w:rPr>
          <w:sz w:val="24"/>
          <w:szCs w:val="24"/>
        </w:rPr>
      </w:pPr>
      <w:r w:rsidRPr="00615769">
        <w:rPr>
          <w:bCs/>
          <w:color w:val="000000"/>
          <w:sz w:val="24"/>
          <w:szCs w:val="24"/>
        </w:rPr>
        <w:t xml:space="preserve">    </w:t>
      </w:r>
      <w:r w:rsidR="007E6468" w:rsidRPr="00615769">
        <w:rPr>
          <w:b/>
          <w:bCs/>
          <w:color w:val="000000"/>
          <w:sz w:val="24"/>
          <w:szCs w:val="24"/>
        </w:rPr>
        <w:t xml:space="preserve">По второму вопросу </w:t>
      </w:r>
      <w:r w:rsidR="00615769" w:rsidRPr="00615769">
        <w:rPr>
          <w:b/>
          <w:bCs/>
          <w:color w:val="000000"/>
          <w:sz w:val="24"/>
          <w:szCs w:val="24"/>
        </w:rPr>
        <w:t>«</w:t>
      </w:r>
      <w:r w:rsidR="00615769" w:rsidRPr="00615769">
        <w:rPr>
          <w:b/>
          <w:sz w:val="24"/>
          <w:szCs w:val="24"/>
        </w:rPr>
        <w:t>Об исполнении постановления Главного государственного санитарного врача по Пермскому краю от 13 июля 2021 года № 206 (в ред. от  25.10.2021 №402)  «О проведении  профилактических прививок  отдельным  группам  граждан  по эпидемическим  показаниям»</w:t>
      </w:r>
      <w:r w:rsidR="00615769">
        <w:rPr>
          <w:b/>
          <w:sz w:val="24"/>
          <w:szCs w:val="24"/>
        </w:rPr>
        <w:t xml:space="preserve"> </w:t>
      </w:r>
      <w:r w:rsidR="00615769" w:rsidRPr="00615769">
        <w:rPr>
          <w:sz w:val="24"/>
          <w:szCs w:val="24"/>
        </w:rPr>
        <w:t xml:space="preserve">слушали </w:t>
      </w:r>
      <w:r w:rsidR="00615769">
        <w:rPr>
          <w:sz w:val="24"/>
          <w:szCs w:val="24"/>
        </w:rPr>
        <w:t>Четину О.А., координатора комиссии, Ермакова В.И., директора «Самковское ТПП», Власову Н.И., председателя Белоевского сельпо, Кольчурина В.А., председателя Ёгвинского сельпо, Трушникова М.Н., председателя СХПК «Колхоз им. Кирова»</w:t>
      </w:r>
      <w:r w:rsidR="00615769" w:rsidRPr="00615769">
        <w:rPr>
          <w:sz w:val="24"/>
          <w:szCs w:val="24"/>
        </w:rPr>
        <w:t>.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Pr="00B056DF">
        <w:rPr>
          <w:bCs/>
          <w:color w:val="000000"/>
          <w:sz w:val="24"/>
          <w:szCs w:val="24"/>
        </w:rPr>
        <w:t>Заслушав информацию по вопросу</w:t>
      </w:r>
      <w:r w:rsidR="00615769" w:rsidRPr="00B056DF">
        <w:rPr>
          <w:b/>
          <w:bCs/>
          <w:color w:val="000000"/>
          <w:sz w:val="24"/>
          <w:szCs w:val="24"/>
        </w:rPr>
        <w:t xml:space="preserve"> </w:t>
      </w:r>
      <w:r w:rsidRPr="00B056DF">
        <w:rPr>
          <w:sz w:val="24"/>
          <w:szCs w:val="24"/>
        </w:rPr>
        <w:t>трехсторонняя комиссия  по регулированию социально-трудовых отношений  решила:</w:t>
      </w:r>
    </w:p>
    <w:p w:rsidR="00B056DF" w:rsidRPr="00B056DF" w:rsidRDefault="00B056DF" w:rsidP="00B056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056D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6DF">
        <w:rPr>
          <w:rFonts w:ascii="Times New Roman" w:hAnsi="Times New Roman" w:cs="Times New Roman"/>
          <w:sz w:val="24"/>
          <w:szCs w:val="24"/>
        </w:rPr>
        <w:t>Информацию   принять к сведению.</w:t>
      </w:r>
    </w:p>
    <w:p w:rsidR="00B056DF" w:rsidRPr="00B056DF" w:rsidRDefault="00B056DF" w:rsidP="00B056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056DF">
        <w:rPr>
          <w:rFonts w:ascii="Times New Roman" w:hAnsi="Times New Roman" w:cs="Times New Roman"/>
          <w:sz w:val="24"/>
          <w:szCs w:val="24"/>
        </w:rPr>
        <w:t>2. Рекомендовать  руководителям  организаций и предприятий всех форм собственности, действующим на территории   Кудымкарского муниципального округа:</w:t>
      </w:r>
    </w:p>
    <w:p w:rsidR="00B056DF" w:rsidRPr="00B056DF" w:rsidRDefault="00B056DF" w:rsidP="00B056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056DF">
        <w:rPr>
          <w:rFonts w:ascii="Times New Roman" w:hAnsi="Times New Roman" w:cs="Times New Roman"/>
          <w:sz w:val="24"/>
          <w:szCs w:val="24"/>
        </w:rPr>
        <w:t>2.1. Обеспечить проведение профилактических прививок по эпидемическим показаниям против новой коронавирусной инфекции (COVID-19)  категориям (группам) граждан, подлежащим обязательной вакцинации согласно п.1.1.</w:t>
      </w:r>
      <w:r w:rsidRPr="00B056DF">
        <w:rPr>
          <w:sz w:val="24"/>
          <w:szCs w:val="24"/>
        </w:rPr>
        <w:t xml:space="preserve"> </w:t>
      </w:r>
      <w:r w:rsidRPr="00B056DF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по Пермскому краю от 13 июля 2021 года № 206 (в ред. от  25.10.2021 №402)  «О проведении  профилактических прививок  отдельным  группам  граждан  по эпидемическим  показаниям» в объеме не менее 80% от списочного состава коллектива,  с учетом граждан, переболевших COVID-19 не более 6 месяцев назад.</w:t>
      </w:r>
    </w:p>
    <w:p w:rsidR="00B056DF" w:rsidRPr="00B056DF" w:rsidRDefault="00B056DF" w:rsidP="00B056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056DF">
        <w:rPr>
          <w:rFonts w:ascii="Times New Roman" w:hAnsi="Times New Roman" w:cs="Times New Roman"/>
          <w:sz w:val="24"/>
          <w:szCs w:val="24"/>
        </w:rPr>
        <w:t>3. Рекомендовать сторонам социального партнерства:</w:t>
      </w:r>
    </w:p>
    <w:p w:rsidR="00B056DF" w:rsidRPr="00B056DF" w:rsidRDefault="00B056DF" w:rsidP="00B056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056DF">
        <w:rPr>
          <w:rFonts w:ascii="Times New Roman" w:hAnsi="Times New Roman" w:cs="Times New Roman"/>
          <w:sz w:val="24"/>
          <w:szCs w:val="24"/>
        </w:rPr>
        <w:t xml:space="preserve">3.1. внести в коллективные  договоры норму о предоставлении работникам, проходящим вакцинацию против  новой  коронавирусной  инфекции,  двух  дополнительных оплачиваемых дней  отдыха, определив в них условия и порядок предоставления данных оплачиваемых дней отдыха.  </w:t>
      </w:r>
    </w:p>
    <w:p w:rsidR="00B056DF" w:rsidRDefault="00B056DF" w:rsidP="00B056DF">
      <w:pPr>
        <w:jc w:val="both"/>
      </w:pPr>
    </w:p>
    <w:p w:rsidR="003E3BBF" w:rsidRPr="00615769" w:rsidRDefault="003E3BBF" w:rsidP="00615769">
      <w:pPr>
        <w:pStyle w:val="a3"/>
        <w:ind w:left="0"/>
        <w:jc w:val="both"/>
        <w:rPr>
          <w:b/>
        </w:rPr>
      </w:pPr>
    </w:p>
    <w:p w:rsidR="00FB6C9D" w:rsidRPr="00615769" w:rsidRDefault="00FB6C9D" w:rsidP="005C4EBA">
      <w:pPr>
        <w:pStyle w:val="a3"/>
        <w:ind w:left="0"/>
        <w:jc w:val="both"/>
        <w:rPr>
          <w:b/>
          <w:sz w:val="16"/>
          <w:szCs w:val="16"/>
        </w:rPr>
      </w:pPr>
    </w:p>
    <w:p w:rsidR="00B056DF" w:rsidRDefault="00905C05" w:rsidP="00FB6C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B6C9D">
        <w:rPr>
          <w:b/>
          <w:sz w:val="24"/>
          <w:szCs w:val="24"/>
        </w:rPr>
        <w:t xml:space="preserve">   </w:t>
      </w:r>
      <w:r w:rsidR="00B4577E" w:rsidRPr="00905C05">
        <w:rPr>
          <w:b/>
          <w:sz w:val="24"/>
          <w:szCs w:val="24"/>
        </w:rPr>
        <w:t xml:space="preserve">По третьему вопросу </w:t>
      </w:r>
      <w:r w:rsidRPr="00905C05">
        <w:rPr>
          <w:b/>
          <w:sz w:val="24"/>
          <w:szCs w:val="24"/>
        </w:rPr>
        <w:t>«</w:t>
      </w:r>
      <w:r w:rsidR="00B056DF" w:rsidRPr="00B056DF">
        <w:rPr>
          <w:b/>
          <w:sz w:val="24"/>
          <w:szCs w:val="24"/>
        </w:rPr>
        <w:t>О реализации закона Пермского края от 04.09.2017 г. № 121-ПК (в ред. от 10.09.2020 №559-ПК «Об обеспечении работников государственных и муниципальных учреждений Пермского края путёвками на санаторно-ку</w:t>
      </w:r>
      <w:r w:rsidR="00B056DF">
        <w:rPr>
          <w:b/>
          <w:sz w:val="24"/>
          <w:szCs w:val="24"/>
        </w:rPr>
        <w:t xml:space="preserve">рортное лечение и оздоровление» </w:t>
      </w:r>
      <w:r w:rsidR="00B056DF" w:rsidRPr="00B056DF">
        <w:rPr>
          <w:sz w:val="24"/>
          <w:szCs w:val="24"/>
        </w:rPr>
        <w:t xml:space="preserve">слушали </w:t>
      </w:r>
      <w:r w:rsidR="00B056DF" w:rsidRPr="00B056DF">
        <w:rPr>
          <w:sz w:val="24"/>
          <w:szCs w:val="24"/>
        </w:rPr>
        <w:t>заместител</w:t>
      </w:r>
      <w:r w:rsidR="00B056DF">
        <w:rPr>
          <w:sz w:val="24"/>
          <w:szCs w:val="24"/>
        </w:rPr>
        <w:t>я</w:t>
      </w:r>
      <w:r w:rsidR="00B056DF" w:rsidRPr="00B056DF">
        <w:rPr>
          <w:sz w:val="24"/>
          <w:szCs w:val="24"/>
        </w:rPr>
        <w:t xml:space="preserve"> главы  муниципального округа – главы администрации муниципального округа по социальному развитию  Четин</w:t>
      </w:r>
      <w:r w:rsidR="00B056DF">
        <w:rPr>
          <w:sz w:val="24"/>
          <w:szCs w:val="24"/>
        </w:rPr>
        <w:t>у</w:t>
      </w:r>
      <w:r w:rsidR="00B056DF" w:rsidRPr="00B056DF">
        <w:rPr>
          <w:sz w:val="24"/>
          <w:szCs w:val="24"/>
        </w:rPr>
        <w:t xml:space="preserve"> О.А., председателя координационного совета организаций профсоюзов Кудымкарского муниципального округа  Снигирев</w:t>
      </w:r>
      <w:r w:rsidR="00B056DF">
        <w:rPr>
          <w:sz w:val="24"/>
          <w:szCs w:val="24"/>
        </w:rPr>
        <w:t>у</w:t>
      </w:r>
      <w:r w:rsidR="00B056DF" w:rsidRPr="00B056DF">
        <w:rPr>
          <w:sz w:val="24"/>
          <w:szCs w:val="24"/>
        </w:rPr>
        <w:t xml:space="preserve"> Т.И.</w:t>
      </w:r>
    </w:p>
    <w:p w:rsidR="00B056DF" w:rsidRPr="00B056DF" w:rsidRDefault="00B056DF" w:rsidP="00B056DF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B056DF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Pr="00B056DF">
        <w:rPr>
          <w:sz w:val="24"/>
          <w:szCs w:val="24"/>
        </w:rPr>
        <w:t xml:space="preserve"> </w:t>
      </w:r>
      <w:r w:rsidRPr="00B056D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Пермского края №221-ПК (в ред. от 10.09.2020 №559-ПК) </w:t>
      </w:r>
      <w:r w:rsidRPr="00B056DF">
        <w:rPr>
          <w:rFonts w:ascii="Times New Roman" w:hAnsi="Times New Roman" w:cs="Times New Roman"/>
          <w:b w:val="0"/>
          <w:sz w:val="24"/>
          <w:szCs w:val="24"/>
        </w:rPr>
        <w:t xml:space="preserve">«Об обеспечении работников государственных и муниципальных учреждений  Пермского края путевками на санаторно-курортное лечение и оздоровление» был принят Законодательным Собранием  Пермского  края 17.08.2017 года, </w:t>
      </w:r>
      <w:r w:rsidRPr="00B056DF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10.09.2020 года срок действия закона продлен до 31.12.2023 года.  </w:t>
      </w:r>
    </w:p>
    <w:p w:rsidR="00B056DF" w:rsidRPr="00B056DF" w:rsidRDefault="00B056DF" w:rsidP="00B056DF">
      <w:pPr>
        <w:pStyle w:val="ab"/>
        <w:spacing w:line="240" w:lineRule="auto"/>
        <w:jc w:val="both"/>
        <w:rPr>
          <w:sz w:val="24"/>
          <w:szCs w:val="24"/>
          <w:lang w:val="ru-RU"/>
        </w:rPr>
      </w:pPr>
      <w:r w:rsidRPr="00B056DF">
        <w:rPr>
          <w:sz w:val="24"/>
          <w:szCs w:val="24"/>
          <w:lang w:val="ru-RU"/>
        </w:rPr>
        <w:t xml:space="preserve">      Постановлениям администрации Кудымкарского муниципального района от  01.06.2019 года № 605-260-01-06</w:t>
      </w:r>
      <w:r w:rsidRPr="00B056DF">
        <w:rPr>
          <w:b/>
          <w:sz w:val="24"/>
          <w:szCs w:val="24"/>
          <w:lang w:val="ru-RU"/>
        </w:rPr>
        <w:t xml:space="preserve"> </w:t>
      </w:r>
      <w:r w:rsidRPr="00B056DF">
        <w:rPr>
          <w:sz w:val="24"/>
          <w:szCs w:val="24"/>
          <w:lang w:val="ru-RU"/>
        </w:rPr>
        <w:t>и от 02.07.2019 года №468-260-01-06 были утверждены:</w:t>
      </w:r>
    </w:p>
    <w:p w:rsidR="00B056DF" w:rsidRPr="00B056DF" w:rsidRDefault="00B056DF" w:rsidP="00B056DF">
      <w:pPr>
        <w:pStyle w:val="ab"/>
        <w:spacing w:line="240" w:lineRule="auto"/>
        <w:jc w:val="both"/>
        <w:rPr>
          <w:sz w:val="24"/>
          <w:szCs w:val="24"/>
          <w:lang w:val="ru-RU"/>
        </w:rPr>
      </w:pPr>
      <w:r w:rsidRPr="00B056DF">
        <w:rPr>
          <w:sz w:val="24"/>
          <w:szCs w:val="24"/>
          <w:lang w:val="ru-RU"/>
        </w:rPr>
        <w:t xml:space="preserve"> - Состав комиссии по распределению путевок на санаторно-курортное лечение и оздоровление работников муниципальных учреждений Кудымкарского муниципального района в количестве 8 человек;</w:t>
      </w:r>
    </w:p>
    <w:p w:rsidR="00B056DF" w:rsidRPr="00B056DF" w:rsidRDefault="00B056DF" w:rsidP="00B056DF">
      <w:pPr>
        <w:pStyle w:val="ab"/>
        <w:spacing w:line="240" w:lineRule="auto"/>
        <w:jc w:val="both"/>
        <w:rPr>
          <w:sz w:val="24"/>
          <w:szCs w:val="24"/>
          <w:lang w:val="ru-RU"/>
        </w:rPr>
      </w:pPr>
      <w:r w:rsidRPr="00B056DF">
        <w:rPr>
          <w:sz w:val="24"/>
          <w:szCs w:val="24"/>
          <w:lang w:val="ru-RU"/>
        </w:rPr>
        <w:t>-   Положение о данной Комиссии;</w:t>
      </w:r>
    </w:p>
    <w:p w:rsidR="00B056DF" w:rsidRPr="00B056DF" w:rsidRDefault="00B056DF" w:rsidP="00B056DF">
      <w:pPr>
        <w:pStyle w:val="ab"/>
        <w:spacing w:line="240" w:lineRule="auto"/>
        <w:jc w:val="both"/>
        <w:rPr>
          <w:sz w:val="24"/>
          <w:szCs w:val="24"/>
          <w:lang w:val="ru-RU"/>
        </w:rPr>
      </w:pPr>
      <w:r w:rsidRPr="00B056DF">
        <w:rPr>
          <w:sz w:val="24"/>
          <w:szCs w:val="24"/>
          <w:lang w:val="ru-RU"/>
        </w:rPr>
        <w:t>- Порядок обеспечения  работников муниципальных учреждений Кудымкарского муниципального района  путевками на санаторно-курортное лечение и оздоровление.</w:t>
      </w:r>
    </w:p>
    <w:p w:rsidR="00B056DF" w:rsidRPr="00B056DF" w:rsidRDefault="00B056DF" w:rsidP="00B056DF">
      <w:pPr>
        <w:pStyle w:val="ab"/>
        <w:spacing w:line="240" w:lineRule="auto"/>
        <w:jc w:val="both"/>
        <w:rPr>
          <w:spacing w:val="-1"/>
          <w:sz w:val="24"/>
          <w:szCs w:val="24"/>
          <w:lang w:val="ru-RU"/>
        </w:rPr>
      </w:pPr>
      <w:r w:rsidRPr="00B056DF">
        <w:rPr>
          <w:sz w:val="24"/>
          <w:szCs w:val="24"/>
          <w:lang w:val="ru-RU"/>
        </w:rPr>
        <w:t xml:space="preserve">     За период с 2019 по 2021 годы в рамках реализации Закона  </w:t>
      </w:r>
      <w:r w:rsidRPr="00B056DF">
        <w:rPr>
          <w:spacing w:val="-1"/>
          <w:sz w:val="24"/>
          <w:szCs w:val="24"/>
          <w:lang w:val="ru-RU"/>
        </w:rPr>
        <w:t xml:space="preserve">№221-ПК приобретена </w:t>
      </w:r>
      <w:r w:rsidRPr="00B056DF">
        <w:rPr>
          <w:b/>
          <w:spacing w:val="-1"/>
          <w:sz w:val="24"/>
          <w:szCs w:val="24"/>
          <w:lang w:val="ru-RU"/>
        </w:rPr>
        <w:t xml:space="preserve">41 </w:t>
      </w:r>
      <w:r w:rsidRPr="00B056DF">
        <w:rPr>
          <w:spacing w:val="-1"/>
          <w:sz w:val="24"/>
          <w:szCs w:val="24"/>
          <w:lang w:val="ru-RU"/>
        </w:rPr>
        <w:t xml:space="preserve">путевка в санаторий-профилакторий «Чайка» (г. Чайковский),  которой воспользовались (пропорционально количеству работающих в отрасли)  35 работников образования, в т.ч. 22 учителя, 2 педагога дополнительного образования, 5 воспитателей,  6 работников учебно-вспомогательного персонала, и 6 работников  культуры, в т.ч. 5 специалистов и 1 работник  вспомогательного персонала.  За 30% от стоимости путевки  была реализована 21 путевка, за 25% - 12 путевок, за 15% - 3 путевки, за 10% - 5 путевок.  Расходы на приобретение путевок составили  566 613,64 руб., в т.ч. </w:t>
      </w:r>
      <w:bookmarkStart w:id="0" w:name="_GoBack"/>
      <w:r w:rsidRPr="00BD19B8">
        <w:rPr>
          <w:spacing w:val="-1"/>
          <w:sz w:val="24"/>
          <w:szCs w:val="24"/>
          <w:lang w:val="ru-RU"/>
        </w:rPr>
        <w:t>421 883,76</w:t>
      </w:r>
      <w:r w:rsidRPr="00B056DF">
        <w:rPr>
          <w:spacing w:val="-1"/>
          <w:sz w:val="24"/>
          <w:szCs w:val="24"/>
          <w:lang w:val="ru-RU"/>
        </w:rPr>
        <w:t xml:space="preserve"> </w:t>
      </w:r>
      <w:bookmarkEnd w:id="0"/>
      <w:r w:rsidRPr="00B056DF">
        <w:rPr>
          <w:spacing w:val="-1"/>
          <w:sz w:val="24"/>
          <w:szCs w:val="24"/>
          <w:lang w:val="ru-RU"/>
        </w:rPr>
        <w:t xml:space="preserve">– рублей - средства бюджета и  144 729,88 рублей – собственные  средства  оздоравливающихся. В связи с низкой стоимостью путевок (от 12,5 – до 15,3 тыс. рублей),  закупленных в результате конкурса, ежегодно в бюджет Пермского края возвращается  более  половины  запланированных в бюджете средств.  </w:t>
      </w:r>
    </w:p>
    <w:p w:rsidR="00B056DF" w:rsidRPr="00B056DF" w:rsidRDefault="00B056DF" w:rsidP="00B056DF">
      <w:pPr>
        <w:tabs>
          <w:tab w:val="left" w:pos="426"/>
        </w:tabs>
        <w:ind w:firstLine="426"/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Заслушав информацию </w:t>
      </w:r>
      <w:r>
        <w:rPr>
          <w:sz w:val="24"/>
          <w:szCs w:val="24"/>
        </w:rPr>
        <w:t>заместителя</w:t>
      </w:r>
      <w:r w:rsidRPr="00B056DF">
        <w:rPr>
          <w:sz w:val="24"/>
          <w:szCs w:val="24"/>
        </w:rPr>
        <w:t xml:space="preserve"> главы  муниципального округа – главы администрации муниципального округа по социальному развитию  Четиной О.А., председателя координационного совета организаций профсоюзов Кудымкарского муниципального округа  Снигиревой Т.И.,  трехсторонняя комиссия  по регулированию социально-трудовых отношений  решила:</w:t>
      </w:r>
    </w:p>
    <w:p w:rsidR="00B056DF" w:rsidRPr="00B056DF" w:rsidRDefault="00B056DF" w:rsidP="00B056DF">
      <w:pPr>
        <w:pStyle w:val="ConsPlusTitle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6DF">
        <w:rPr>
          <w:rFonts w:ascii="Times New Roman" w:hAnsi="Times New Roman" w:cs="Times New Roman"/>
          <w:b w:val="0"/>
          <w:sz w:val="24"/>
          <w:szCs w:val="24"/>
        </w:rPr>
        <w:t>Информацию принять к сведению</w:t>
      </w:r>
    </w:p>
    <w:p w:rsidR="00B056DF" w:rsidRPr="00B056DF" w:rsidRDefault="00B056DF" w:rsidP="00B056DF">
      <w:pPr>
        <w:pStyle w:val="ConsPlusTitle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6DF">
        <w:rPr>
          <w:rFonts w:ascii="Times New Roman" w:hAnsi="Times New Roman" w:cs="Times New Roman"/>
          <w:b w:val="0"/>
          <w:sz w:val="24"/>
          <w:szCs w:val="24"/>
        </w:rPr>
        <w:t>Рекомендовать:</w:t>
      </w:r>
    </w:p>
    <w:p w:rsidR="00B056DF" w:rsidRPr="00B056DF" w:rsidRDefault="00B056DF" w:rsidP="00B056DF">
      <w:pPr>
        <w:pStyle w:val="ConsPlusTitle"/>
        <w:ind w:left="360" w:right="-1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056DF"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Администрации Кудымкарского муниципального округа:</w:t>
      </w:r>
    </w:p>
    <w:p w:rsidR="00B056DF" w:rsidRPr="00B056DF" w:rsidRDefault="00B056DF" w:rsidP="00B056D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Calibri"/>
        </w:rPr>
      </w:pPr>
      <w:r w:rsidRPr="00B056DF">
        <w:rPr>
          <w:rFonts w:cs="Calibri"/>
        </w:rPr>
        <w:t xml:space="preserve">  </w:t>
      </w:r>
      <w:r w:rsidRPr="00B056DF">
        <w:t>Обеспечить  максимальное  использование  заложенных в бюджете средств на санаторно-курортное лечение и оздоровление работников бюджетной сферы.</w:t>
      </w:r>
    </w:p>
    <w:p w:rsidR="00B056DF" w:rsidRPr="00B056DF" w:rsidRDefault="00B056DF" w:rsidP="00B056D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Fonts w:cs="Calibri"/>
        </w:rPr>
      </w:pPr>
      <w:r w:rsidRPr="00B056DF">
        <w:t xml:space="preserve"> Внести изменения в Порядок обеспечения  работников муниципальных учреждений Кудымкарского муниципального района  путевками на санаторно-курортное лечение и оздоровление, утв. Постановлением администрации Кудымкарского муниципального района  от 02.07.2019 года №468-260-01-06 в части срока его действия. </w:t>
      </w:r>
    </w:p>
    <w:p w:rsidR="00B056DF" w:rsidRPr="00B056DF" w:rsidRDefault="00B056DF" w:rsidP="00B056DF">
      <w:pPr>
        <w:pStyle w:val="ConsPlusTitle"/>
        <w:ind w:left="360" w:right="-1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056DF">
        <w:rPr>
          <w:rFonts w:ascii="Times New Roman" w:hAnsi="Times New Roman" w:cs="Times New Roman"/>
          <w:b w:val="0"/>
          <w:sz w:val="24"/>
          <w:szCs w:val="24"/>
          <w:u w:val="single"/>
        </w:rPr>
        <w:t>Работодателям организаций образования и культуры:</w:t>
      </w:r>
    </w:p>
    <w:p w:rsidR="00B056DF" w:rsidRPr="00B056DF" w:rsidRDefault="00B056DF" w:rsidP="00B056DF">
      <w:pPr>
        <w:pStyle w:val="ConsPlusTitle"/>
        <w:numPr>
          <w:ilvl w:val="1"/>
          <w:numId w:val="18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6DF">
        <w:rPr>
          <w:rFonts w:ascii="Times New Roman" w:hAnsi="Times New Roman" w:cs="Times New Roman"/>
          <w:b w:val="0"/>
          <w:sz w:val="24"/>
          <w:szCs w:val="24"/>
        </w:rPr>
        <w:t xml:space="preserve"> Обеспечить своевременную подачу заявок на  санаторно-курортное лечение и оздоровление работников</w:t>
      </w:r>
      <w:r w:rsidRPr="00B056D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</w:p>
    <w:p w:rsidR="00B056DF" w:rsidRPr="00B056DF" w:rsidRDefault="00B056DF" w:rsidP="00B056DF">
      <w:pPr>
        <w:pStyle w:val="ConsPlusTitle"/>
        <w:ind w:left="360" w:right="-1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B056DF">
        <w:rPr>
          <w:rFonts w:ascii="Times New Roman" w:hAnsi="Times New Roman" w:cs="Times New Roman"/>
          <w:b w:val="0"/>
          <w:sz w:val="24"/>
          <w:szCs w:val="24"/>
          <w:u w:val="single"/>
        </w:rPr>
        <w:t>Профсоюзам:</w:t>
      </w:r>
    </w:p>
    <w:p w:rsidR="00905C05" w:rsidRPr="00B056DF" w:rsidRDefault="00B056DF" w:rsidP="00B056DF">
      <w:pPr>
        <w:pStyle w:val="ConsPlusTitle"/>
        <w:numPr>
          <w:ilvl w:val="1"/>
          <w:numId w:val="18"/>
        </w:numPr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56DF">
        <w:rPr>
          <w:rFonts w:ascii="Times New Roman" w:hAnsi="Times New Roman" w:cs="Times New Roman"/>
          <w:b w:val="0"/>
          <w:sz w:val="24"/>
          <w:szCs w:val="24"/>
        </w:rPr>
        <w:t xml:space="preserve">Обеспечить со стороны профсоюза учет  работников, нуждающихся в санаторно-курортном лечении и оздоровлении, своевременность подачи ими  необходимых на получение путевки документов. </w:t>
      </w:r>
    </w:p>
    <w:p w:rsidR="00FB6C9D" w:rsidRPr="00B056DF" w:rsidRDefault="00905C05" w:rsidP="00FB6C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Pr="00905C05">
        <w:rPr>
          <w:b/>
          <w:sz w:val="24"/>
          <w:szCs w:val="24"/>
        </w:rPr>
        <w:t xml:space="preserve">По четвертому вопросу </w:t>
      </w:r>
      <w:r w:rsidR="00B056DF">
        <w:rPr>
          <w:b/>
          <w:sz w:val="24"/>
          <w:szCs w:val="24"/>
        </w:rPr>
        <w:t>«</w:t>
      </w:r>
      <w:r w:rsidR="00B056DF" w:rsidRPr="00B056DF">
        <w:rPr>
          <w:b/>
          <w:sz w:val="24"/>
          <w:szCs w:val="24"/>
        </w:rPr>
        <w:t>О ходе подготовки и проведения детской оздоровительной кампании на территории муниципального округа.  О взаимодействии органов местного самоуправления, работодателей и органов службы занятости по вопросу организации и финансирования временной занятости несовершеннолетних граждан в возрасте от 14 до 18 лет в период летних каникул</w:t>
      </w:r>
      <w:r w:rsidR="00B056DF">
        <w:rPr>
          <w:b/>
          <w:sz w:val="24"/>
          <w:szCs w:val="24"/>
        </w:rPr>
        <w:t xml:space="preserve">» </w:t>
      </w:r>
      <w:r w:rsidR="00DE7FAD" w:rsidRPr="00A86C29">
        <w:rPr>
          <w:sz w:val="24"/>
          <w:szCs w:val="24"/>
        </w:rPr>
        <w:t xml:space="preserve">слушали </w:t>
      </w:r>
      <w:r w:rsidR="00DE7FAD" w:rsidRPr="00A86C29">
        <w:rPr>
          <w:b/>
          <w:sz w:val="24"/>
          <w:szCs w:val="24"/>
        </w:rPr>
        <w:t xml:space="preserve"> </w:t>
      </w:r>
      <w:r w:rsidR="00DE7FAD" w:rsidRPr="00A86C29">
        <w:rPr>
          <w:sz w:val="24"/>
          <w:szCs w:val="24"/>
        </w:rPr>
        <w:t xml:space="preserve">Корниенко А.С., начальника Управления </w:t>
      </w:r>
      <w:r w:rsidR="00B056DF">
        <w:rPr>
          <w:sz w:val="24"/>
          <w:szCs w:val="24"/>
        </w:rPr>
        <w:t>образования</w:t>
      </w:r>
      <w:r w:rsidR="00DE7FAD">
        <w:rPr>
          <w:sz w:val="24"/>
          <w:szCs w:val="24"/>
        </w:rPr>
        <w:t>.</w:t>
      </w:r>
    </w:p>
    <w:p w:rsidR="00B056DF" w:rsidRPr="00B056DF" w:rsidRDefault="00FB6C9D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      </w:t>
      </w:r>
      <w:r w:rsidR="00B056DF" w:rsidRPr="00B056DF">
        <w:rPr>
          <w:sz w:val="24"/>
          <w:szCs w:val="24"/>
        </w:rPr>
        <w:t xml:space="preserve"> </w:t>
      </w:r>
      <w:r w:rsidR="00B056DF">
        <w:rPr>
          <w:sz w:val="24"/>
          <w:szCs w:val="24"/>
        </w:rPr>
        <w:t xml:space="preserve"> </w:t>
      </w:r>
      <w:r w:rsidR="00B056DF" w:rsidRPr="00B056DF">
        <w:rPr>
          <w:sz w:val="24"/>
          <w:szCs w:val="24"/>
        </w:rPr>
        <w:t xml:space="preserve"> Создание необходимых условий для организации полноценного отдыха и занятости, укрепления здоровья, творческого развития детей, усиления социальной защиты семьи и детства являются одним из приоритетных направлений социальной политики администрации Кудымкарского муниципального округа.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         Уполномоченным органом по организации оздоровления, отдыха и занятости детей является  Управление  образования администрации Кудымкарского муниципального округа. В   деятельности  по организации  отдыха и занятости детей и подростков Управление образования руководствуется:</w:t>
      </w:r>
    </w:p>
    <w:p w:rsidR="00B056DF" w:rsidRPr="00B056DF" w:rsidRDefault="00B056DF" w:rsidP="00B056DF">
      <w:pPr>
        <w:ind w:firstLine="284"/>
        <w:jc w:val="both"/>
        <w:rPr>
          <w:sz w:val="24"/>
          <w:szCs w:val="24"/>
        </w:rPr>
      </w:pPr>
      <w:r w:rsidRPr="00B056DF">
        <w:rPr>
          <w:sz w:val="24"/>
          <w:szCs w:val="24"/>
        </w:rPr>
        <w:t>- Постановлением Правительства Пермского края  от 12.01.2022 № 11-п «О внесении изменений в постановление Пермского края от 07 марта 2019  №  143 «Об обеспечении отдыха и оздоровления  детей в Пермском крае».</w:t>
      </w:r>
    </w:p>
    <w:p w:rsidR="00B056DF" w:rsidRPr="00B056DF" w:rsidRDefault="00B056DF" w:rsidP="00B056DF">
      <w:pPr>
        <w:ind w:firstLine="284"/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- Приказом Министерства социального развития Пермского края от 02.10.2020 № СЭД-33-01-03/1-377 «Об утверждении Административного регламента предоставления государственной услуги по предоставлению путевок, сертификатов, компенсаций за путевки в детские оздоровительные лагеря в Пермском крае».  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      Между администрацией Кудымкарского муниципального округа и Министерством  социального развития Пермского края заключено Соглашение о предоставлении межбюджетных трансфертов в виде субвенции  из бюджета Пермского края бюджету муниципального образования Пермского края от 02.02.2022 № 207. Общий объем бюджетных ассигнований в 2022 году, предусмотренных на финансовое обеспечение расходных обязательств муниципалитета в соответствии с настоящим Соглашением, составляет  5 738 200,00 рублей.</w:t>
      </w:r>
    </w:p>
    <w:p w:rsidR="00B056DF" w:rsidRPr="00B056DF" w:rsidRDefault="00B056DF" w:rsidP="00B056DF">
      <w:pPr>
        <w:jc w:val="both"/>
        <w:rPr>
          <w:rFonts w:eastAsia="Calibri"/>
          <w:sz w:val="24"/>
          <w:szCs w:val="24"/>
        </w:rPr>
      </w:pPr>
      <w:r w:rsidRPr="00B056DF">
        <w:rPr>
          <w:rFonts w:eastAsia="Calibri"/>
          <w:sz w:val="24"/>
          <w:szCs w:val="24"/>
        </w:rPr>
        <w:t xml:space="preserve">        Число  детей и подростков   в возрасте   от 7 до 17 лет (включительно),  проживающих и зарегистрированных на территории Кудымкарского муниципального округа,  составляет 3 738 человек. В 2022 году планируется охватить  90%  из  них  следующими формами отдыха и оздоровления:</w:t>
      </w:r>
    </w:p>
    <w:p w:rsidR="00B056DF" w:rsidRPr="00B056DF" w:rsidRDefault="00B056DF" w:rsidP="00B056DF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B056DF">
        <w:rPr>
          <w:rFonts w:eastAsia="Calibri"/>
          <w:sz w:val="24"/>
          <w:szCs w:val="24"/>
          <w:lang w:eastAsia="en-US"/>
        </w:rPr>
        <w:t>- лагеря с дневным пребыванием детей (21 день) – 1043 обучающихся;</w:t>
      </w:r>
    </w:p>
    <w:p w:rsidR="00B056DF" w:rsidRPr="00B056DF" w:rsidRDefault="00B056DF" w:rsidP="00B056DF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B056DF">
        <w:rPr>
          <w:rFonts w:eastAsia="Calibri"/>
          <w:sz w:val="24"/>
          <w:szCs w:val="24"/>
          <w:lang w:eastAsia="en-US"/>
        </w:rPr>
        <w:t xml:space="preserve">- Кувинский загородный лагерь  (21 день) – 112 несовершеннолетних из 147     </w:t>
      </w:r>
    </w:p>
    <w:p w:rsidR="00B056DF" w:rsidRPr="00B056DF" w:rsidRDefault="00B056DF" w:rsidP="00B056DF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B056DF">
        <w:rPr>
          <w:rFonts w:eastAsia="Calibri"/>
          <w:sz w:val="24"/>
          <w:szCs w:val="24"/>
          <w:lang w:eastAsia="en-US"/>
        </w:rPr>
        <w:t xml:space="preserve">  заявившихся;</w:t>
      </w:r>
    </w:p>
    <w:p w:rsidR="00B056DF" w:rsidRPr="00B056DF" w:rsidRDefault="00B056DF" w:rsidP="00B056DF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B056DF">
        <w:rPr>
          <w:rFonts w:eastAsia="Calibri"/>
          <w:sz w:val="24"/>
          <w:szCs w:val="24"/>
          <w:lang w:eastAsia="en-US"/>
        </w:rPr>
        <w:t>- трудовая занятость подростков – 106 подростков;</w:t>
      </w:r>
    </w:p>
    <w:p w:rsidR="00B056DF" w:rsidRPr="00B056DF" w:rsidRDefault="00B056DF" w:rsidP="00B056DF">
      <w:pPr>
        <w:ind w:left="426"/>
        <w:jc w:val="both"/>
        <w:rPr>
          <w:rFonts w:eastAsia="Calibri"/>
          <w:sz w:val="24"/>
          <w:szCs w:val="24"/>
          <w:lang w:eastAsia="en-US"/>
        </w:rPr>
      </w:pPr>
      <w:r w:rsidRPr="00B056DF">
        <w:rPr>
          <w:rFonts w:eastAsia="Calibri"/>
          <w:sz w:val="24"/>
          <w:szCs w:val="24"/>
          <w:lang w:eastAsia="en-US"/>
        </w:rPr>
        <w:t>- разновозрастные отряды (ОМЖ и КМЖ).</w:t>
      </w:r>
    </w:p>
    <w:p w:rsidR="00B056DF" w:rsidRPr="00B056DF" w:rsidRDefault="00B056DF" w:rsidP="00B056D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B056DF">
        <w:rPr>
          <w:rFonts w:eastAsia="Calibri"/>
          <w:sz w:val="24"/>
          <w:szCs w:val="24"/>
        </w:rPr>
        <w:t xml:space="preserve">    Стоимость путевок на данный момент составляет:</w:t>
      </w:r>
    </w:p>
    <w:p w:rsidR="00B056DF" w:rsidRPr="00B056DF" w:rsidRDefault="00B056DF" w:rsidP="00B056DF">
      <w:pPr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</w:rPr>
      </w:pPr>
      <w:r w:rsidRPr="00B056DF">
        <w:rPr>
          <w:rFonts w:eastAsia="Calibri"/>
          <w:sz w:val="24"/>
          <w:szCs w:val="24"/>
        </w:rPr>
        <w:t>- в лагеря с дневным пребыванием – 3724,04 рубля (177,24 руб. в день);</w:t>
      </w:r>
    </w:p>
    <w:p w:rsidR="00B056DF" w:rsidRPr="00B056DF" w:rsidRDefault="00B056DF" w:rsidP="00B056DF">
      <w:pPr>
        <w:autoSpaceDE w:val="0"/>
        <w:autoSpaceDN w:val="0"/>
        <w:adjustRightInd w:val="0"/>
        <w:ind w:left="567"/>
        <w:jc w:val="both"/>
        <w:rPr>
          <w:rFonts w:eastAsia="Calibri"/>
          <w:sz w:val="24"/>
          <w:szCs w:val="24"/>
        </w:rPr>
      </w:pPr>
      <w:r w:rsidRPr="00B056DF">
        <w:rPr>
          <w:rFonts w:eastAsia="Calibri"/>
          <w:sz w:val="24"/>
          <w:szCs w:val="24"/>
        </w:rPr>
        <w:t>- в Кувинский загородный лагерь  - 22 206,87 рублей.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      Перед открытием лагерей с дневным пребываем  и  загородного оздоровительного лагеря в с.Кува  будет организована их приемка, проведена акарицидная и дератизационная обработка территорий. Весь персонал, задействованный в работе лагерей, должен  пройти  медицинский осмотр и вирусологические обследования.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b/>
          <w:bCs/>
          <w:color w:val="FFFFFF"/>
          <w:kern w:val="24"/>
          <w:sz w:val="24"/>
          <w:szCs w:val="24"/>
        </w:rPr>
        <w:t xml:space="preserve"> </w:t>
      </w:r>
      <w:r w:rsidRPr="00B056DF">
        <w:rPr>
          <w:sz w:val="24"/>
          <w:szCs w:val="24"/>
        </w:rPr>
        <w:t xml:space="preserve"> </w:t>
      </w:r>
      <w:r w:rsidRPr="00B056DF">
        <w:rPr>
          <w:bCs/>
          <w:sz w:val="24"/>
          <w:szCs w:val="24"/>
        </w:rPr>
        <w:t xml:space="preserve">     Заслушав и обсудив информацию начальника Управления образования </w:t>
      </w:r>
      <w:r w:rsidRPr="00B056DF">
        <w:rPr>
          <w:sz w:val="24"/>
          <w:szCs w:val="24"/>
        </w:rPr>
        <w:t xml:space="preserve"> администрации Кудымкарского муниципального округа Корниенко А.С.  трехсторонняя комиссия  </w:t>
      </w:r>
      <w:r w:rsidRPr="00B056DF">
        <w:rPr>
          <w:b/>
          <w:sz w:val="24"/>
          <w:szCs w:val="24"/>
        </w:rPr>
        <w:t>решила: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1.  Информацию   принять к сведению.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Рекомендовать: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2. Администрации муниципального округа  и  </w:t>
      </w:r>
      <w:r w:rsidRPr="00B056DF">
        <w:rPr>
          <w:bCs/>
          <w:sz w:val="24"/>
          <w:szCs w:val="24"/>
        </w:rPr>
        <w:t xml:space="preserve">Управлению образования </w:t>
      </w:r>
      <w:r w:rsidRPr="00B056DF">
        <w:rPr>
          <w:sz w:val="24"/>
          <w:szCs w:val="24"/>
        </w:rPr>
        <w:t xml:space="preserve"> администрации Кудымкарского муниципального округа:     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2.1. продолжить работу по совершенствованию механизмов обеспечения летней оздоровительной кампании;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lastRenderedPageBreak/>
        <w:t xml:space="preserve">2.2.  обеспечить координацию, взаимодействие и контроль деятельности учреждений и организаций по подготовке и проведению мероприятий по оздоровлению детей и подростков, трудоустройству несовершеннолетних; 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3. Работодателям: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3.1. провести необходимую работу по организации отдыха и оздоровления детей и подростков, уделив особое внимание вопросам обеспечения безопасности детей.</w:t>
      </w:r>
    </w:p>
    <w:p w:rsidR="00B056DF" w:rsidRPr="00B056DF" w:rsidRDefault="00B056DF" w:rsidP="00B056DF">
      <w:pPr>
        <w:rPr>
          <w:sz w:val="24"/>
          <w:szCs w:val="24"/>
        </w:rPr>
      </w:pPr>
      <w:r w:rsidRPr="00B056DF">
        <w:rPr>
          <w:sz w:val="24"/>
          <w:szCs w:val="24"/>
        </w:rPr>
        <w:t xml:space="preserve">3.2. обеспечить оздоровление детей в 2022 году не ниже уровня 2021 года; 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 xml:space="preserve">3.3. уделять особое внимание организации отдыха, оздоровления и занятости детей, находящихся в трудной жизненной ситуации; </w:t>
      </w:r>
    </w:p>
    <w:p w:rsidR="00B056DF" w:rsidRPr="00B056DF" w:rsidRDefault="00B056DF" w:rsidP="00B056DF">
      <w:pPr>
        <w:rPr>
          <w:sz w:val="24"/>
          <w:szCs w:val="24"/>
        </w:rPr>
      </w:pPr>
      <w:r w:rsidRPr="00B056DF">
        <w:rPr>
          <w:sz w:val="24"/>
          <w:szCs w:val="24"/>
        </w:rPr>
        <w:t>4. Профсоюзам: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4.1. в пределах своих полномочий осуществлять мониторинг летней оздоровительной кампании, деятельности организаций, предоставляющих услуги оздоровления и отдыха  детей и подростков;</w:t>
      </w:r>
    </w:p>
    <w:p w:rsidR="00B056DF" w:rsidRPr="00B056DF" w:rsidRDefault="00B056DF" w:rsidP="00B056DF">
      <w:pPr>
        <w:jc w:val="both"/>
        <w:rPr>
          <w:sz w:val="24"/>
          <w:szCs w:val="24"/>
        </w:rPr>
      </w:pPr>
      <w:r w:rsidRPr="00B056DF">
        <w:rPr>
          <w:sz w:val="24"/>
          <w:szCs w:val="24"/>
        </w:rPr>
        <w:t>4.2. проводить информационную работу  в коллективах, содействовать  работникам  в приобретении  детских  путевок.</w:t>
      </w:r>
    </w:p>
    <w:p w:rsidR="00FB6C9D" w:rsidRPr="00B056DF" w:rsidRDefault="00B056DF" w:rsidP="00B056DF">
      <w:pPr>
        <w:jc w:val="both"/>
        <w:rPr>
          <w:sz w:val="16"/>
          <w:szCs w:val="16"/>
        </w:rPr>
      </w:pPr>
      <w:r w:rsidRPr="00B056DF">
        <w:rPr>
          <w:sz w:val="24"/>
          <w:szCs w:val="24"/>
        </w:rPr>
        <w:t xml:space="preserve"> </w:t>
      </w:r>
    </w:p>
    <w:p w:rsidR="00B056DF" w:rsidRPr="00B056DF" w:rsidRDefault="00FB6C9D" w:rsidP="00F74C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A62AD5" w:rsidRPr="00A62AD5">
        <w:rPr>
          <w:b/>
          <w:sz w:val="24"/>
          <w:szCs w:val="24"/>
        </w:rPr>
        <w:t xml:space="preserve">По пятому </w:t>
      </w:r>
      <w:r w:rsidR="00B056DF">
        <w:rPr>
          <w:b/>
          <w:sz w:val="24"/>
          <w:szCs w:val="24"/>
        </w:rPr>
        <w:t xml:space="preserve"> вопросу</w:t>
      </w:r>
      <w:r w:rsidR="008F25AD">
        <w:rPr>
          <w:b/>
          <w:sz w:val="24"/>
          <w:szCs w:val="24"/>
        </w:rPr>
        <w:t xml:space="preserve"> </w:t>
      </w:r>
      <w:r w:rsidR="00B056DF">
        <w:rPr>
          <w:b/>
          <w:sz w:val="24"/>
          <w:szCs w:val="24"/>
        </w:rPr>
        <w:t>«</w:t>
      </w:r>
      <w:r w:rsidR="00B056DF" w:rsidRPr="00B056DF">
        <w:rPr>
          <w:b/>
          <w:sz w:val="24"/>
          <w:szCs w:val="24"/>
        </w:rPr>
        <w:t>О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2022 год</w:t>
      </w:r>
      <w:r w:rsidR="00B056DF" w:rsidRPr="00B056DF">
        <w:rPr>
          <w:b/>
          <w:sz w:val="24"/>
          <w:szCs w:val="24"/>
        </w:rPr>
        <w:t>»</w:t>
      </w:r>
      <w:r w:rsidR="00B056DF">
        <w:rPr>
          <w:b/>
          <w:sz w:val="24"/>
          <w:szCs w:val="24"/>
        </w:rPr>
        <w:t xml:space="preserve"> </w:t>
      </w:r>
      <w:r w:rsidR="00B056DF" w:rsidRPr="00B056DF">
        <w:rPr>
          <w:sz w:val="24"/>
          <w:szCs w:val="24"/>
        </w:rPr>
        <w:t xml:space="preserve">слушали </w:t>
      </w:r>
      <w:r w:rsidR="00B056DF" w:rsidRPr="00B056DF">
        <w:rPr>
          <w:sz w:val="24"/>
          <w:szCs w:val="24"/>
        </w:rPr>
        <w:t xml:space="preserve">председателя координационного совета организаций профсоюзов Кудымкарского муниципального округа  </w:t>
      </w:r>
      <w:r w:rsidR="00B056DF">
        <w:rPr>
          <w:sz w:val="24"/>
          <w:szCs w:val="24"/>
        </w:rPr>
        <w:t>Снигиреву</w:t>
      </w:r>
      <w:r w:rsidR="00B056DF" w:rsidRPr="00B056DF">
        <w:rPr>
          <w:sz w:val="24"/>
          <w:szCs w:val="24"/>
        </w:rPr>
        <w:t xml:space="preserve"> Т.И.,  </w:t>
      </w:r>
    </w:p>
    <w:p w:rsidR="00F74C88" w:rsidRPr="00F74C88" w:rsidRDefault="00B056DF" w:rsidP="00F74C88">
      <w:pPr>
        <w:jc w:val="both"/>
        <w:rPr>
          <w:sz w:val="24"/>
          <w:szCs w:val="24"/>
        </w:rPr>
      </w:pPr>
      <w:r w:rsidRPr="00F74C88">
        <w:rPr>
          <w:b/>
          <w:sz w:val="24"/>
          <w:szCs w:val="24"/>
        </w:rPr>
        <w:t xml:space="preserve">   </w:t>
      </w:r>
      <w:r w:rsidR="00F74C88">
        <w:rPr>
          <w:b/>
          <w:bCs/>
          <w:sz w:val="24"/>
          <w:szCs w:val="24"/>
        </w:rPr>
        <w:t xml:space="preserve">   </w:t>
      </w:r>
      <w:r w:rsidR="00F74C88" w:rsidRPr="00F74C88">
        <w:rPr>
          <w:bCs/>
          <w:sz w:val="24"/>
          <w:szCs w:val="24"/>
        </w:rPr>
        <w:t>23</w:t>
      </w:r>
      <w:r w:rsidR="00F74C88">
        <w:rPr>
          <w:bCs/>
          <w:sz w:val="24"/>
          <w:szCs w:val="24"/>
        </w:rPr>
        <w:t xml:space="preserve"> декабря </w:t>
      </w:r>
      <w:r w:rsidR="00F74C88" w:rsidRPr="00F74C88">
        <w:rPr>
          <w:bCs/>
          <w:sz w:val="24"/>
          <w:szCs w:val="24"/>
        </w:rPr>
        <w:t>2021 года решением Российской трехсторонней комиссии (протокол №11) утверждены</w:t>
      </w:r>
      <w:r w:rsidR="00F74C88" w:rsidRPr="00F74C88">
        <w:rPr>
          <w:b/>
          <w:bCs/>
          <w:sz w:val="24"/>
          <w:szCs w:val="24"/>
        </w:rPr>
        <w:t xml:space="preserve"> </w:t>
      </w:r>
      <w:r w:rsidR="00F74C88" w:rsidRPr="00F74C88">
        <w:rPr>
          <w:sz w:val="24"/>
          <w:szCs w:val="24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2022 год.</w:t>
      </w:r>
    </w:p>
    <w:p w:rsidR="00F74C88" w:rsidRPr="00F74C88" w:rsidRDefault="00F74C88" w:rsidP="00F74C88">
      <w:pPr>
        <w:jc w:val="both"/>
        <w:rPr>
          <w:b/>
          <w:sz w:val="24"/>
          <w:szCs w:val="24"/>
        </w:rPr>
      </w:pPr>
      <w:r w:rsidRPr="00F74C88">
        <w:rPr>
          <w:sz w:val="24"/>
          <w:szCs w:val="24"/>
        </w:rPr>
        <w:t xml:space="preserve">     Они приняты в соответствии со </w:t>
      </w:r>
      <w:hyperlink r:id="rId9" w:history="1">
        <w:r w:rsidRPr="00F74C88">
          <w:rPr>
            <w:sz w:val="24"/>
            <w:szCs w:val="24"/>
          </w:rPr>
          <w:t>статьей 135</w:t>
        </w:r>
      </w:hyperlink>
      <w:r w:rsidRPr="00F74C88">
        <w:rPr>
          <w:sz w:val="24"/>
          <w:szCs w:val="24"/>
        </w:rPr>
        <w:t xml:space="preserve"> Трудового кодекса Российской Федерации в целях обеспечения единых подходов к регулированию заработной платы работников организаций бюджетной сферы и</w:t>
      </w:r>
      <w:r w:rsidRPr="00F74C88">
        <w:rPr>
          <w:b/>
          <w:sz w:val="24"/>
          <w:szCs w:val="24"/>
        </w:rPr>
        <w:t xml:space="preserve"> </w:t>
      </w:r>
      <w:r w:rsidRPr="00F74C88">
        <w:rPr>
          <w:sz w:val="24"/>
          <w:szCs w:val="24"/>
        </w:rPr>
        <w:t>должны учитываться при разработке</w:t>
      </w:r>
      <w:r w:rsidRPr="00F74C88">
        <w:rPr>
          <w:b/>
          <w:sz w:val="24"/>
          <w:szCs w:val="24"/>
        </w:rPr>
        <w:t xml:space="preserve"> </w:t>
      </w:r>
      <w:r w:rsidRPr="00F74C88">
        <w:rPr>
          <w:sz w:val="24"/>
          <w:szCs w:val="24"/>
        </w:rPr>
        <w:t>нормативных правовых актов по оплате труда работников указанных учреждений.</w:t>
      </w:r>
    </w:p>
    <w:p w:rsidR="00F74C88" w:rsidRPr="00F74C88" w:rsidRDefault="00F74C88" w:rsidP="00F74C88">
      <w:pPr>
        <w:pStyle w:val="Default"/>
        <w:jc w:val="both"/>
      </w:pPr>
      <w:r w:rsidRPr="00F74C88">
        <w:t xml:space="preserve">     Как и прежде,</w:t>
      </w:r>
      <w:r w:rsidRPr="00F74C88">
        <w:rPr>
          <w:b/>
        </w:rPr>
        <w:t xml:space="preserve"> </w:t>
      </w:r>
      <w:r w:rsidRPr="00F74C88">
        <w:t>обязательными для применения на территории РФ являются следующие нормы и условия оплаты труда, установленные ТК РФ, федеральными законами и иными нормативными правовыми актами РФ.</w:t>
      </w:r>
    </w:p>
    <w:p w:rsidR="00F74C88" w:rsidRDefault="00F74C88" w:rsidP="00F74C8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F74C88">
        <w:rPr>
          <w:rFonts w:eastAsiaTheme="minorHAnsi"/>
          <w:color w:val="000000"/>
          <w:sz w:val="24"/>
          <w:szCs w:val="24"/>
          <w:lang w:eastAsia="en-US"/>
        </w:rPr>
        <w:t xml:space="preserve">   - </w:t>
      </w:r>
      <w:r w:rsidRPr="00F74C88">
        <w:rPr>
          <w:sz w:val="24"/>
          <w:szCs w:val="24"/>
        </w:rPr>
        <w:t xml:space="preserve">Минимальный размер оплаты труда.  С 01.01.2021 МРОТ равен 13890 руб. </w:t>
      </w:r>
    </w:p>
    <w:p w:rsidR="00F74C88" w:rsidRPr="00F74C88" w:rsidRDefault="00F74C88" w:rsidP="00F74C8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   - Оплата сверх МРОТ</w:t>
      </w:r>
      <w:r w:rsidRPr="00F74C8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74C88">
        <w:rPr>
          <w:sz w:val="24"/>
          <w:szCs w:val="24"/>
        </w:rPr>
        <w:t>сверхурочных,</w:t>
      </w:r>
      <w:r w:rsidRPr="00F74C88"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"северны</w:t>
      </w:r>
      <w:r>
        <w:rPr>
          <w:sz w:val="24"/>
          <w:szCs w:val="24"/>
        </w:rPr>
        <w:t>х</w:t>
      </w:r>
      <w:r w:rsidRPr="00F74C88">
        <w:rPr>
          <w:sz w:val="24"/>
          <w:szCs w:val="24"/>
        </w:rPr>
        <w:t>" надбав</w:t>
      </w:r>
      <w:r>
        <w:rPr>
          <w:sz w:val="24"/>
          <w:szCs w:val="24"/>
        </w:rPr>
        <w:t>ок</w:t>
      </w:r>
      <w:r w:rsidRPr="00F74C88">
        <w:rPr>
          <w:sz w:val="24"/>
          <w:szCs w:val="24"/>
        </w:rPr>
        <w:t xml:space="preserve"> и районн</w:t>
      </w:r>
      <w:r>
        <w:rPr>
          <w:sz w:val="24"/>
          <w:szCs w:val="24"/>
        </w:rPr>
        <w:t>ого</w:t>
      </w:r>
      <w:r w:rsidRPr="00F74C88">
        <w:rPr>
          <w:sz w:val="24"/>
          <w:szCs w:val="24"/>
        </w:rPr>
        <w:t xml:space="preserve"> коэффициент</w:t>
      </w:r>
      <w:r>
        <w:rPr>
          <w:sz w:val="24"/>
          <w:szCs w:val="24"/>
        </w:rPr>
        <w:t>а</w:t>
      </w:r>
      <w:r w:rsidRPr="00F74C88">
        <w:rPr>
          <w:sz w:val="24"/>
          <w:szCs w:val="24"/>
        </w:rPr>
        <w:t>,</w:t>
      </w:r>
      <w:r w:rsidRPr="00F74C88"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оплату за работу в выходные и праздничные дни</w:t>
      </w:r>
      <w:r>
        <w:rPr>
          <w:sz w:val="24"/>
          <w:szCs w:val="24"/>
        </w:rPr>
        <w:t>,</w:t>
      </w:r>
      <w:r w:rsidRPr="00F74C88"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за работу во вредных и (или) опасных условиях труда</w:t>
      </w:r>
      <w:r>
        <w:rPr>
          <w:sz w:val="24"/>
          <w:szCs w:val="24"/>
        </w:rPr>
        <w:t>,</w:t>
      </w:r>
      <w:r w:rsidRPr="00F74C88"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за работу в ночное время</w:t>
      </w:r>
      <w:r>
        <w:rPr>
          <w:sz w:val="24"/>
          <w:szCs w:val="24"/>
        </w:rPr>
        <w:t>,</w:t>
      </w:r>
      <w:r w:rsidRPr="00F74C88"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доплаты за совмещение должностей, зарплата внутренн</w:t>
      </w:r>
      <w:r>
        <w:rPr>
          <w:sz w:val="24"/>
          <w:szCs w:val="24"/>
        </w:rPr>
        <w:t>ее</w:t>
      </w:r>
      <w:r w:rsidRPr="00F74C88">
        <w:rPr>
          <w:sz w:val="24"/>
          <w:szCs w:val="24"/>
        </w:rPr>
        <w:t xml:space="preserve"> совместител</w:t>
      </w:r>
      <w:r>
        <w:rPr>
          <w:sz w:val="24"/>
          <w:szCs w:val="24"/>
        </w:rPr>
        <w:t xml:space="preserve">ьство (основание: </w:t>
      </w:r>
      <w:r w:rsidRPr="00F74C88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Конституционного  Суда  Российской Федераций  от 7 декабря 2017 г. № 38-П, от 28 июня 2018 г. № 26-П, от 11 апреля 2019 г. № 17-П и от 16 декабря 2019 г. № 40-П</w:t>
      </w:r>
      <w:r>
        <w:rPr>
          <w:sz w:val="24"/>
          <w:szCs w:val="24"/>
        </w:rPr>
        <w:t xml:space="preserve">).  </w:t>
      </w:r>
    </w:p>
    <w:p w:rsidR="00F74C88" w:rsidRPr="00F74C88" w:rsidRDefault="00F74C88" w:rsidP="00F74C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F74C88">
        <w:rPr>
          <w:rFonts w:ascii="Times New Roman" w:hAnsi="Times New Roman" w:cs="Times New Roman"/>
          <w:sz w:val="24"/>
          <w:szCs w:val="24"/>
        </w:rPr>
        <w:t>Пересмотр норм труда допускается в порядке, установленном трудовым законодательством, по мере совершенствования или внедрения новой техники, технологий и проведения организационных либо иных мероприятий, обеспечивающих рост эффективности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C88">
        <w:rPr>
          <w:rFonts w:ascii="Times New Roman" w:hAnsi="Times New Roman" w:cs="Times New Roman"/>
          <w:sz w:val="24"/>
          <w:szCs w:val="24"/>
        </w:rPr>
        <w:t>О введении новых норм труда работники должны быть извещены не позднее, чем за 2 месяца.</w:t>
      </w:r>
      <w:r w:rsidRPr="00F74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4C88" w:rsidRPr="00F74C88" w:rsidRDefault="00F74C88" w:rsidP="00F74C8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74C88">
        <w:rPr>
          <w:sz w:val="24"/>
          <w:szCs w:val="24"/>
        </w:rPr>
        <w:t>Рекомендовано всем государственным и муниципальным  учреждениям</w:t>
      </w:r>
      <w:r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>не допускать снижения уро</w:t>
      </w:r>
      <w:r>
        <w:rPr>
          <w:sz w:val="24"/>
          <w:szCs w:val="24"/>
        </w:rPr>
        <w:t>вня заработной платы работников</w:t>
      </w:r>
      <w:r w:rsidRPr="00F74C88">
        <w:rPr>
          <w:sz w:val="24"/>
          <w:szCs w:val="24"/>
        </w:rPr>
        <w:t>, достигнутого в 2021 году.</w:t>
      </w:r>
      <w:r w:rsidRPr="00F74C8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74C88">
        <w:rPr>
          <w:bCs/>
          <w:sz w:val="24"/>
          <w:szCs w:val="24"/>
        </w:rPr>
        <w:t>ыплаты компенсационного и стимулирующего характера осуществляются в пределах средств фонда оплаты труда учреждений, при проведении индексации должностных окладов (тарифных ставок) выплаты компенсационного и стимулирующего характера (ежемесячные надбавки), установленные работнику до индексации в процентном соотношении  от должностного оклада (тарифных ставок), не могут быть уменьшены  в абсолютном размере</w:t>
      </w:r>
      <w:r>
        <w:rPr>
          <w:bCs/>
          <w:sz w:val="24"/>
          <w:szCs w:val="24"/>
        </w:rPr>
        <w:t>.</w:t>
      </w:r>
    </w:p>
    <w:p w:rsidR="00F74C88" w:rsidRPr="00862201" w:rsidRDefault="00F74C88" w:rsidP="0086220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F74C88">
        <w:rPr>
          <w:bCs/>
          <w:sz w:val="24"/>
          <w:szCs w:val="24"/>
        </w:rPr>
        <w:t xml:space="preserve">         Н</w:t>
      </w:r>
      <w:r w:rsidRPr="00F74C88">
        <w:rPr>
          <w:bCs/>
          <w:sz w:val="24"/>
          <w:szCs w:val="24"/>
        </w:rPr>
        <w:t>а установление окладов (должностных окладов), ставок заработной платы работников образования  должно направляться</w:t>
      </w:r>
      <w:r w:rsidRPr="00F74C88">
        <w:rPr>
          <w:b/>
          <w:bCs/>
          <w:sz w:val="24"/>
          <w:szCs w:val="24"/>
        </w:rPr>
        <w:t xml:space="preserve"> </w:t>
      </w:r>
      <w:r w:rsidRPr="00862201">
        <w:rPr>
          <w:bCs/>
          <w:sz w:val="24"/>
          <w:szCs w:val="24"/>
        </w:rPr>
        <w:t>не менее 70% фонда оплаты труда</w:t>
      </w:r>
      <w:r w:rsidRPr="00F74C88">
        <w:rPr>
          <w:bCs/>
          <w:sz w:val="24"/>
          <w:szCs w:val="24"/>
        </w:rPr>
        <w:t xml:space="preserve">, </w:t>
      </w:r>
      <w:r w:rsidR="00862201">
        <w:rPr>
          <w:bCs/>
          <w:sz w:val="24"/>
          <w:szCs w:val="24"/>
        </w:rPr>
        <w:t>работников</w:t>
      </w:r>
      <w:r w:rsidRPr="00F74C88">
        <w:rPr>
          <w:bCs/>
          <w:sz w:val="24"/>
          <w:szCs w:val="24"/>
        </w:rPr>
        <w:t xml:space="preserve"> культур</w:t>
      </w:r>
      <w:r w:rsidR="00862201">
        <w:rPr>
          <w:bCs/>
          <w:sz w:val="24"/>
          <w:szCs w:val="24"/>
        </w:rPr>
        <w:t>ы</w:t>
      </w:r>
      <w:r w:rsidRPr="00F74C88">
        <w:rPr>
          <w:bCs/>
          <w:sz w:val="24"/>
          <w:szCs w:val="24"/>
        </w:rPr>
        <w:t xml:space="preserve"> </w:t>
      </w:r>
      <w:r w:rsidRPr="00862201">
        <w:rPr>
          <w:bCs/>
          <w:sz w:val="24"/>
          <w:szCs w:val="24"/>
        </w:rPr>
        <w:t xml:space="preserve">- 50%, </w:t>
      </w:r>
      <w:r w:rsidR="00862201">
        <w:rPr>
          <w:bCs/>
          <w:sz w:val="24"/>
          <w:szCs w:val="24"/>
        </w:rPr>
        <w:t>работников</w:t>
      </w:r>
      <w:r w:rsidRPr="00862201">
        <w:rPr>
          <w:bCs/>
          <w:sz w:val="24"/>
          <w:szCs w:val="24"/>
        </w:rPr>
        <w:t xml:space="preserve"> здравоохранении - 55%</w:t>
      </w:r>
      <w:r w:rsidR="00862201">
        <w:rPr>
          <w:bCs/>
          <w:sz w:val="24"/>
          <w:szCs w:val="24"/>
        </w:rPr>
        <w:t xml:space="preserve">, </w:t>
      </w:r>
      <w:r w:rsidRPr="00F74C88">
        <w:rPr>
          <w:sz w:val="24"/>
          <w:szCs w:val="24"/>
        </w:rPr>
        <w:t xml:space="preserve">Предельная доля расходов на оплату административно-управленческого и вспомогательного персонала в фонде оплаты труда образовательных учреждений  не может быть более </w:t>
      </w:r>
      <w:r w:rsidR="00862201">
        <w:rPr>
          <w:sz w:val="24"/>
          <w:szCs w:val="24"/>
        </w:rPr>
        <w:t>40</w:t>
      </w:r>
      <w:r w:rsidRPr="00862201">
        <w:rPr>
          <w:sz w:val="24"/>
          <w:szCs w:val="24"/>
        </w:rPr>
        <w:t>%.</w:t>
      </w:r>
      <w:r w:rsidRPr="00F74C88">
        <w:rPr>
          <w:b/>
          <w:sz w:val="24"/>
          <w:szCs w:val="24"/>
        </w:rPr>
        <w:t xml:space="preserve">  </w:t>
      </w:r>
    </w:p>
    <w:p w:rsidR="00F74C88" w:rsidRPr="00F74C88" w:rsidRDefault="00862201" w:rsidP="0086220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F74C88" w:rsidRPr="00F74C88">
        <w:rPr>
          <w:sz w:val="24"/>
          <w:szCs w:val="24"/>
        </w:rPr>
        <w:t>В качестве одн</w:t>
      </w:r>
      <w:r>
        <w:rPr>
          <w:sz w:val="24"/>
          <w:szCs w:val="24"/>
        </w:rPr>
        <w:t>ого</w:t>
      </w:r>
      <w:r w:rsidR="00F74C88" w:rsidRPr="00F74C88">
        <w:rPr>
          <w:sz w:val="24"/>
          <w:szCs w:val="24"/>
        </w:rPr>
        <w:t xml:space="preserve"> из показателей результативности работы </w:t>
      </w:r>
      <w:r w:rsidR="00F74C88" w:rsidRPr="00862201">
        <w:rPr>
          <w:sz w:val="24"/>
          <w:szCs w:val="24"/>
        </w:rPr>
        <w:t xml:space="preserve">руководителя </w:t>
      </w:r>
      <w:r>
        <w:rPr>
          <w:sz w:val="24"/>
          <w:szCs w:val="24"/>
        </w:rPr>
        <w:t xml:space="preserve">учреждения  </w:t>
      </w:r>
      <w:r w:rsidR="00F74C88" w:rsidRPr="00862201">
        <w:rPr>
          <w:sz w:val="24"/>
          <w:szCs w:val="24"/>
        </w:rPr>
        <w:t xml:space="preserve"> выступает  показатель роста средней заработной платы</w:t>
      </w:r>
      <w:r w:rsidR="00F74C88" w:rsidRPr="00F74C88">
        <w:rPr>
          <w:sz w:val="24"/>
          <w:szCs w:val="24"/>
        </w:rPr>
        <w:t xml:space="preserve"> работников учреждения в 2022 году по сравнению с 2021 годом. </w:t>
      </w:r>
    </w:p>
    <w:p w:rsidR="00F74C88" w:rsidRPr="00F74C88" w:rsidRDefault="00F74C88" w:rsidP="00862201">
      <w:pPr>
        <w:jc w:val="both"/>
        <w:rPr>
          <w:sz w:val="24"/>
          <w:szCs w:val="24"/>
        </w:rPr>
      </w:pPr>
      <w:r w:rsidRPr="00F74C88">
        <w:rPr>
          <w:sz w:val="24"/>
          <w:szCs w:val="24"/>
        </w:rPr>
        <w:t xml:space="preserve">      </w:t>
      </w:r>
      <w:r w:rsidR="00862201">
        <w:rPr>
          <w:sz w:val="24"/>
          <w:szCs w:val="24"/>
        </w:rPr>
        <w:t xml:space="preserve">  </w:t>
      </w:r>
      <w:r w:rsidRPr="00F74C88">
        <w:rPr>
          <w:sz w:val="24"/>
          <w:szCs w:val="24"/>
        </w:rPr>
        <w:t xml:space="preserve"> </w:t>
      </w:r>
      <w:r w:rsidR="00862201">
        <w:rPr>
          <w:sz w:val="24"/>
          <w:szCs w:val="24"/>
        </w:rPr>
        <w:t>Единые р</w:t>
      </w:r>
      <w:r w:rsidRPr="00F74C88">
        <w:rPr>
          <w:sz w:val="24"/>
          <w:szCs w:val="24"/>
        </w:rPr>
        <w:t xml:space="preserve">екомендации </w:t>
      </w:r>
      <w:r w:rsidRPr="00862201">
        <w:rPr>
          <w:sz w:val="24"/>
          <w:szCs w:val="24"/>
        </w:rPr>
        <w:t xml:space="preserve">должны учитываться </w:t>
      </w:r>
      <w:r w:rsidRPr="00F74C88">
        <w:rPr>
          <w:sz w:val="24"/>
          <w:szCs w:val="24"/>
        </w:rPr>
        <w:t xml:space="preserve"> Правительством Российской Федерации, органами государственной власти</w:t>
      </w:r>
      <w:r w:rsidR="00862201">
        <w:rPr>
          <w:sz w:val="24"/>
          <w:szCs w:val="24"/>
        </w:rPr>
        <w:t xml:space="preserve"> субъектов Российской Федерации, </w:t>
      </w:r>
      <w:r w:rsidRPr="00F74C88">
        <w:rPr>
          <w:sz w:val="24"/>
          <w:szCs w:val="24"/>
        </w:rPr>
        <w:t>о</w:t>
      </w:r>
      <w:r w:rsidR="00862201">
        <w:rPr>
          <w:sz w:val="24"/>
          <w:szCs w:val="24"/>
        </w:rPr>
        <w:t xml:space="preserve">рганами местного самоуправления </w:t>
      </w:r>
      <w:r w:rsidRPr="00F74C88">
        <w:rPr>
          <w:sz w:val="24"/>
          <w:szCs w:val="24"/>
        </w:rPr>
        <w:t xml:space="preserve">при определении объемов финансового обеспечения деятельности государственных и муниципальных учреждений и </w:t>
      </w:r>
      <w:r w:rsidRPr="00862201">
        <w:rPr>
          <w:sz w:val="24"/>
          <w:szCs w:val="24"/>
        </w:rPr>
        <w:t>разработке</w:t>
      </w:r>
      <w:r w:rsidRPr="00F74C88">
        <w:rPr>
          <w:b/>
          <w:sz w:val="24"/>
          <w:szCs w:val="24"/>
        </w:rPr>
        <w:t xml:space="preserve"> з</w:t>
      </w:r>
      <w:r w:rsidRPr="00F74C88">
        <w:rPr>
          <w:sz w:val="24"/>
          <w:szCs w:val="24"/>
        </w:rPr>
        <w:t xml:space="preserve">аконов и иных </w:t>
      </w:r>
      <w:r w:rsidRPr="00862201">
        <w:rPr>
          <w:sz w:val="24"/>
          <w:szCs w:val="24"/>
        </w:rPr>
        <w:t>нормативных</w:t>
      </w:r>
      <w:r w:rsidRPr="00F74C88">
        <w:rPr>
          <w:b/>
          <w:sz w:val="24"/>
          <w:szCs w:val="24"/>
        </w:rPr>
        <w:t xml:space="preserve"> </w:t>
      </w:r>
      <w:r w:rsidRPr="00862201">
        <w:rPr>
          <w:sz w:val="24"/>
          <w:szCs w:val="24"/>
        </w:rPr>
        <w:t>правовых актов по оплате труда работников</w:t>
      </w:r>
      <w:r w:rsidRPr="00F74C88">
        <w:rPr>
          <w:sz w:val="24"/>
          <w:szCs w:val="24"/>
        </w:rPr>
        <w:t xml:space="preserve"> указанных учреждений.</w:t>
      </w:r>
      <w:r w:rsidR="00862201">
        <w:rPr>
          <w:sz w:val="24"/>
          <w:szCs w:val="24"/>
        </w:rPr>
        <w:t xml:space="preserve"> </w:t>
      </w:r>
      <w:r w:rsidRPr="00F74C88">
        <w:rPr>
          <w:sz w:val="24"/>
          <w:szCs w:val="24"/>
        </w:rPr>
        <w:t xml:space="preserve">При этом </w:t>
      </w:r>
      <w:r w:rsidRPr="00862201">
        <w:rPr>
          <w:sz w:val="24"/>
          <w:szCs w:val="24"/>
        </w:rPr>
        <w:t xml:space="preserve">проекты </w:t>
      </w:r>
      <w:r w:rsidRPr="00F74C88">
        <w:rPr>
          <w:sz w:val="24"/>
          <w:szCs w:val="24"/>
        </w:rPr>
        <w:t xml:space="preserve">законодательных актов, </w:t>
      </w:r>
      <w:r w:rsidRPr="00862201">
        <w:rPr>
          <w:sz w:val="24"/>
          <w:szCs w:val="24"/>
        </w:rPr>
        <w:t>нормативных правовых</w:t>
      </w:r>
      <w:r w:rsidRPr="00F74C88">
        <w:rPr>
          <w:sz w:val="24"/>
          <w:szCs w:val="24"/>
        </w:rPr>
        <w:t xml:space="preserve"> и иных актов органов исполнительной власти и </w:t>
      </w:r>
      <w:r w:rsidRPr="00862201">
        <w:rPr>
          <w:sz w:val="24"/>
          <w:szCs w:val="24"/>
        </w:rPr>
        <w:t>органов местного самоуправления</w:t>
      </w:r>
      <w:r w:rsidRPr="00F74C88">
        <w:rPr>
          <w:sz w:val="24"/>
          <w:szCs w:val="24"/>
        </w:rPr>
        <w:t xml:space="preserve"> по вопросам организации оплаты труда работников государственных и муниципальных учреждений, а также документы и материалы, необходимые для их обсуждения, </w:t>
      </w:r>
      <w:r w:rsidRPr="00862201">
        <w:rPr>
          <w:sz w:val="24"/>
          <w:szCs w:val="24"/>
        </w:rPr>
        <w:t xml:space="preserve">направляются на рассмотрение соответствующим профсоюзам. </w:t>
      </w:r>
      <w:r w:rsidR="00862201">
        <w:rPr>
          <w:sz w:val="24"/>
          <w:szCs w:val="24"/>
        </w:rPr>
        <w:t>Заключения</w:t>
      </w:r>
      <w:r w:rsidRPr="00862201">
        <w:rPr>
          <w:sz w:val="24"/>
          <w:szCs w:val="24"/>
        </w:rPr>
        <w:t xml:space="preserve"> профсоюзов</w:t>
      </w:r>
      <w:r w:rsidRPr="00F74C88">
        <w:rPr>
          <w:sz w:val="24"/>
          <w:szCs w:val="24"/>
        </w:rPr>
        <w:t xml:space="preserve"> </w:t>
      </w:r>
      <w:r w:rsidR="00862201">
        <w:rPr>
          <w:sz w:val="24"/>
          <w:szCs w:val="24"/>
        </w:rPr>
        <w:t xml:space="preserve"> </w:t>
      </w:r>
      <w:r w:rsidRPr="00862201">
        <w:rPr>
          <w:sz w:val="24"/>
          <w:szCs w:val="24"/>
        </w:rPr>
        <w:t>по направленным им проектам</w:t>
      </w:r>
      <w:r w:rsidRPr="00F74C88">
        <w:rPr>
          <w:sz w:val="24"/>
          <w:szCs w:val="24"/>
        </w:rPr>
        <w:t xml:space="preserve"> нормативных актов  </w:t>
      </w:r>
      <w:r w:rsidRPr="00862201">
        <w:rPr>
          <w:sz w:val="24"/>
          <w:szCs w:val="24"/>
        </w:rPr>
        <w:t>подлежат обязательному рассмотрению</w:t>
      </w:r>
      <w:r w:rsidRPr="00F74C88">
        <w:rPr>
          <w:sz w:val="24"/>
          <w:szCs w:val="24"/>
        </w:rPr>
        <w:t xml:space="preserve">   органами, принимающими указанные акты.</w:t>
      </w:r>
    </w:p>
    <w:p w:rsidR="00F74C88" w:rsidRPr="00F74C88" w:rsidRDefault="00F74C88" w:rsidP="00F74C88">
      <w:pPr>
        <w:jc w:val="both"/>
        <w:rPr>
          <w:b/>
          <w:bCs/>
          <w:sz w:val="24"/>
          <w:szCs w:val="24"/>
        </w:rPr>
      </w:pPr>
      <w:r w:rsidRPr="00F74C88">
        <w:rPr>
          <w:sz w:val="24"/>
          <w:szCs w:val="24"/>
        </w:rPr>
        <w:t xml:space="preserve">          </w:t>
      </w:r>
      <w:r w:rsidR="00862201">
        <w:rPr>
          <w:sz w:val="24"/>
          <w:szCs w:val="24"/>
        </w:rPr>
        <w:t>Единые ре</w:t>
      </w:r>
      <w:r w:rsidRPr="00F74C88">
        <w:rPr>
          <w:sz w:val="24"/>
          <w:szCs w:val="24"/>
        </w:rPr>
        <w:t xml:space="preserve">комендации </w:t>
      </w:r>
      <w:r w:rsidR="00862201">
        <w:rPr>
          <w:sz w:val="24"/>
          <w:szCs w:val="24"/>
        </w:rPr>
        <w:t xml:space="preserve">должны </w:t>
      </w:r>
      <w:r w:rsidRPr="00862201">
        <w:rPr>
          <w:sz w:val="24"/>
          <w:szCs w:val="24"/>
        </w:rPr>
        <w:t>учитыва</w:t>
      </w:r>
      <w:r w:rsidR="00862201" w:rsidRPr="00862201">
        <w:rPr>
          <w:sz w:val="24"/>
          <w:szCs w:val="24"/>
        </w:rPr>
        <w:t>ться</w:t>
      </w:r>
      <w:r w:rsidRPr="00862201">
        <w:rPr>
          <w:sz w:val="24"/>
          <w:szCs w:val="24"/>
        </w:rPr>
        <w:t xml:space="preserve"> </w:t>
      </w:r>
      <w:r w:rsidR="00862201" w:rsidRPr="00862201">
        <w:rPr>
          <w:sz w:val="24"/>
          <w:szCs w:val="24"/>
        </w:rPr>
        <w:t xml:space="preserve"> </w:t>
      </w:r>
      <w:r w:rsidRPr="00862201">
        <w:rPr>
          <w:sz w:val="24"/>
          <w:szCs w:val="24"/>
        </w:rPr>
        <w:t>трехсторонними комиссиями</w:t>
      </w:r>
      <w:r w:rsidRPr="00F74C88">
        <w:rPr>
          <w:sz w:val="24"/>
          <w:szCs w:val="24"/>
        </w:rPr>
        <w:t xml:space="preserve"> по регулированию социально-трудовых отношений  при подготовке соглашений и рекомендаций по организации оплаты труда работников государственных и муниципальных учреждений в 2022 году</w:t>
      </w:r>
      <w:r w:rsidR="00862201">
        <w:rPr>
          <w:sz w:val="24"/>
          <w:szCs w:val="24"/>
        </w:rPr>
        <w:t>.</w:t>
      </w:r>
    </w:p>
    <w:p w:rsidR="00862201" w:rsidRPr="00862201" w:rsidRDefault="00F74C88" w:rsidP="00862201">
      <w:pPr>
        <w:ind w:right="-1"/>
        <w:jc w:val="both"/>
        <w:rPr>
          <w:sz w:val="24"/>
          <w:szCs w:val="24"/>
        </w:rPr>
      </w:pPr>
      <w:r w:rsidRPr="00862201">
        <w:rPr>
          <w:sz w:val="24"/>
          <w:szCs w:val="24"/>
        </w:rPr>
        <w:t xml:space="preserve">       </w:t>
      </w:r>
      <w:r w:rsidR="00862201">
        <w:rPr>
          <w:sz w:val="24"/>
          <w:szCs w:val="24"/>
        </w:rPr>
        <w:t xml:space="preserve">  </w:t>
      </w:r>
      <w:r w:rsidR="00862201" w:rsidRPr="00862201">
        <w:rPr>
          <w:sz w:val="24"/>
          <w:szCs w:val="24"/>
        </w:rPr>
        <w:t>Заслушав информацию</w:t>
      </w:r>
      <w:r w:rsidR="00862201" w:rsidRPr="00862201">
        <w:rPr>
          <w:sz w:val="24"/>
          <w:szCs w:val="24"/>
        </w:rPr>
        <w:t>,</w:t>
      </w:r>
      <w:r w:rsidR="00862201" w:rsidRPr="00862201">
        <w:rPr>
          <w:sz w:val="24"/>
          <w:szCs w:val="24"/>
        </w:rPr>
        <w:t xml:space="preserve"> трехсторонняя комиссия  по регулированию социально-трудовых отношений  решила:</w:t>
      </w:r>
    </w:p>
    <w:p w:rsidR="00862201" w:rsidRPr="00862201" w:rsidRDefault="00862201" w:rsidP="00862201">
      <w:pPr>
        <w:pStyle w:val="a3"/>
        <w:numPr>
          <w:ilvl w:val="0"/>
          <w:numId w:val="3"/>
        </w:numPr>
        <w:tabs>
          <w:tab w:val="left" w:pos="284"/>
        </w:tabs>
        <w:ind w:left="0" w:right="-1" w:firstLine="0"/>
        <w:jc w:val="both"/>
      </w:pPr>
      <w:r w:rsidRPr="00862201">
        <w:t>Информацию принять к сведению.</w:t>
      </w:r>
    </w:p>
    <w:p w:rsidR="00862201" w:rsidRPr="00862201" w:rsidRDefault="00862201" w:rsidP="00862201">
      <w:pPr>
        <w:jc w:val="both"/>
        <w:rPr>
          <w:sz w:val="24"/>
          <w:szCs w:val="24"/>
        </w:rPr>
      </w:pPr>
      <w:r w:rsidRPr="00862201">
        <w:rPr>
          <w:sz w:val="24"/>
          <w:szCs w:val="24"/>
        </w:rPr>
        <w:t>2. Рекомендовать  органам  местного самоуправления, работодателям  учреждений бюджетной сферы:</w:t>
      </w:r>
    </w:p>
    <w:p w:rsidR="00862201" w:rsidRPr="00862201" w:rsidRDefault="00862201" w:rsidP="00862201">
      <w:pPr>
        <w:jc w:val="both"/>
        <w:rPr>
          <w:sz w:val="24"/>
          <w:szCs w:val="24"/>
        </w:rPr>
      </w:pPr>
      <w:r w:rsidRPr="00862201">
        <w:rPr>
          <w:sz w:val="24"/>
          <w:szCs w:val="24"/>
        </w:rPr>
        <w:t xml:space="preserve">2.1.Учитывать Единые рекомендации  при разработке </w:t>
      </w:r>
      <w:r w:rsidRPr="00862201">
        <w:rPr>
          <w:rFonts w:eastAsia="Calibri"/>
          <w:sz w:val="24"/>
          <w:szCs w:val="24"/>
        </w:rPr>
        <w:t>нормативных правовых актов по оплате труда работников  муниципальных  учреждений</w:t>
      </w:r>
      <w:r w:rsidRPr="00862201">
        <w:rPr>
          <w:sz w:val="24"/>
          <w:szCs w:val="24"/>
        </w:rPr>
        <w:t xml:space="preserve">;  </w:t>
      </w:r>
    </w:p>
    <w:p w:rsidR="00862201" w:rsidRPr="00862201" w:rsidRDefault="00862201" w:rsidP="00862201">
      <w:pPr>
        <w:jc w:val="both"/>
        <w:rPr>
          <w:sz w:val="24"/>
          <w:szCs w:val="24"/>
        </w:rPr>
      </w:pPr>
      <w:r w:rsidRPr="00862201">
        <w:rPr>
          <w:sz w:val="24"/>
          <w:szCs w:val="24"/>
        </w:rPr>
        <w:t>2.2. Применять нормы  Единых рекомендаций  в  практике  своей  деятельности.</w:t>
      </w:r>
    </w:p>
    <w:p w:rsidR="00B056DF" w:rsidRPr="000901C2" w:rsidRDefault="00B056DF" w:rsidP="008F25AD">
      <w:pPr>
        <w:jc w:val="both"/>
        <w:rPr>
          <w:sz w:val="16"/>
          <w:szCs w:val="16"/>
        </w:rPr>
      </w:pPr>
    </w:p>
    <w:p w:rsidR="000901C2" w:rsidRPr="00615769" w:rsidRDefault="000901C2" w:rsidP="000901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62AD5">
        <w:rPr>
          <w:b/>
          <w:sz w:val="24"/>
          <w:szCs w:val="24"/>
        </w:rPr>
        <w:t xml:space="preserve">По шестому вопросу </w:t>
      </w:r>
      <w:r w:rsidRPr="000901C2">
        <w:rPr>
          <w:sz w:val="24"/>
          <w:szCs w:val="24"/>
        </w:rPr>
        <w:t>«</w:t>
      </w:r>
      <w:r w:rsidRPr="000901C2">
        <w:rPr>
          <w:sz w:val="24"/>
          <w:szCs w:val="24"/>
        </w:rPr>
        <w:t>О перспективах развития транспортного обслуживания населения в Кудымкарском муниципальном округе в 2022 году</w:t>
      </w:r>
      <w:r w:rsidRPr="000901C2">
        <w:rPr>
          <w:sz w:val="24"/>
          <w:szCs w:val="24"/>
        </w:rPr>
        <w:t>»</w:t>
      </w:r>
      <w:r>
        <w:rPr>
          <w:sz w:val="24"/>
          <w:szCs w:val="24"/>
        </w:rPr>
        <w:t xml:space="preserve"> слушали </w:t>
      </w:r>
      <w:r w:rsidRPr="000901C2">
        <w:rPr>
          <w:sz w:val="24"/>
          <w:szCs w:val="24"/>
        </w:rPr>
        <w:t>Гусельников Е.Н.,</w:t>
      </w:r>
      <w:r w:rsidRPr="00615769">
        <w:rPr>
          <w:sz w:val="24"/>
          <w:szCs w:val="24"/>
        </w:rPr>
        <w:t xml:space="preserve"> зам</w:t>
      </w:r>
      <w:r>
        <w:rPr>
          <w:sz w:val="24"/>
          <w:szCs w:val="24"/>
        </w:rPr>
        <w:t>естителя</w:t>
      </w:r>
      <w:r w:rsidRPr="00615769">
        <w:rPr>
          <w:sz w:val="24"/>
          <w:szCs w:val="24"/>
        </w:rPr>
        <w:t xml:space="preserve"> главы муниципального округа-главы администрации  муниципального округа по </w:t>
      </w:r>
      <w:r w:rsidRPr="00615769">
        <w:rPr>
          <w:bCs/>
          <w:color w:val="000000"/>
          <w:sz w:val="24"/>
          <w:szCs w:val="24"/>
        </w:rPr>
        <w:t>э</w:t>
      </w:r>
      <w:r w:rsidRPr="00615769">
        <w:rPr>
          <w:sz w:val="24"/>
          <w:szCs w:val="24"/>
        </w:rPr>
        <w:t>кономическому развитию</w:t>
      </w:r>
      <w:r>
        <w:rPr>
          <w:sz w:val="24"/>
          <w:szCs w:val="24"/>
        </w:rPr>
        <w:t>.</w:t>
      </w:r>
    </w:p>
    <w:p w:rsidR="000901C2" w:rsidRPr="000901C2" w:rsidRDefault="000901C2" w:rsidP="000901C2">
      <w:pPr>
        <w:jc w:val="both"/>
        <w:rPr>
          <w:sz w:val="24"/>
          <w:szCs w:val="24"/>
        </w:rPr>
      </w:pPr>
      <w:r w:rsidRPr="000901C2">
        <w:rPr>
          <w:sz w:val="24"/>
          <w:szCs w:val="24"/>
        </w:rPr>
        <w:t xml:space="preserve">        Заслушав информацию  Гусельникова Е.Н., трехсторонняя комиссия  по регулированию социально-трудовых отношений решила:</w:t>
      </w:r>
    </w:p>
    <w:p w:rsidR="000901C2" w:rsidRPr="000901C2" w:rsidRDefault="000901C2" w:rsidP="000901C2">
      <w:pPr>
        <w:jc w:val="both"/>
        <w:rPr>
          <w:sz w:val="24"/>
          <w:szCs w:val="24"/>
        </w:rPr>
      </w:pPr>
      <w:r w:rsidRPr="000901C2">
        <w:rPr>
          <w:sz w:val="24"/>
          <w:szCs w:val="24"/>
        </w:rPr>
        <w:t>1. Информацию принять к сведению.</w:t>
      </w:r>
    </w:p>
    <w:p w:rsidR="000901C2" w:rsidRDefault="000901C2" w:rsidP="000901C2">
      <w:pPr>
        <w:jc w:val="both"/>
        <w:rPr>
          <w:sz w:val="24"/>
          <w:szCs w:val="24"/>
        </w:rPr>
      </w:pPr>
      <w:r w:rsidRPr="000901C2">
        <w:rPr>
          <w:sz w:val="24"/>
          <w:szCs w:val="24"/>
        </w:rPr>
        <w:t>2. Рекомендовать администрации Кудымкарского муниципального округа</w:t>
      </w:r>
      <w:r>
        <w:rPr>
          <w:sz w:val="24"/>
          <w:szCs w:val="24"/>
        </w:rPr>
        <w:t>:</w:t>
      </w:r>
    </w:p>
    <w:p w:rsidR="000901C2" w:rsidRDefault="000901C2" w:rsidP="000901C2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0901C2">
        <w:rPr>
          <w:sz w:val="24"/>
          <w:szCs w:val="24"/>
        </w:rPr>
        <w:t xml:space="preserve"> обеспечить  бесперебойное транспортное  обслуживание  населения  муниципалитета  в соответствии с  заключенными договорами и контрактами.</w:t>
      </w:r>
    </w:p>
    <w:p w:rsidR="000901C2" w:rsidRPr="000901C2" w:rsidRDefault="000901C2" w:rsidP="000901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2.2.провести совещание с администрацией города Кудымкара по вопросу организации бесперебойного транспортного обслуживания населения Кудымкарского муниципального округа Пермского края с 01.01.2023 года. </w:t>
      </w:r>
    </w:p>
    <w:p w:rsidR="00B056DF" w:rsidRPr="000901C2" w:rsidRDefault="00B056DF" w:rsidP="008F25AD">
      <w:pPr>
        <w:jc w:val="both"/>
        <w:rPr>
          <w:b/>
          <w:sz w:val="24"/>
          <w:szCs w:val="24"/>
        </w:rPr>
      </w:pPr>
    </w:p>
    <w:p w:rsidR="00B15957" w:rsidRPr="00274057" w:rsidRDefault="00B15957" w:rsidP="00B15957">
      <w:pPr>
        <w:jc w:val="both"/>
        <w:rPr>
          <w:sz w:val="24"/>
          <w:szCs w:val="24"/>
        </w:rPr>
      </w:pPr>
    </w:p>
    <w:p w:rsidR="002945BF" w:rsidRPr="002E6110" w:rsidRDefault="002945BF" w:rsidP="001647A6">
      <w:pPr>
        <w:jc w:val="both"/>
        <w:rPr>
          <w:sz w:val="24"/>
          <w:szCs w:val="24"/>
        </w:rPr>
      </w:pPr>
      <w:r w:rsidRPr="002E6110">
        <w:rPr>
          <w:sz w:val="24"/>
          <w:szCs w:val="24"/>
        </w:rPr>
        <w:t xml:space="preserve">Координатор    </w:t>
      </w:r>
    </w:p>
    <w:p w:rsidR="002945BF" w:rsidRPr="002E6110" w:rsidRDefault="002945BF" w:rsidP="001647A6">
      <w:pPr>
        <w:rPr>
          <w:sz w:val="24"/>
          <w:szCs w:val="24"/>
        </w:rPr>
      </w:pPr>
      <w:r w:rsidRPr="002E6110">
        <w:rPr>
          <w:sz w:val="24"/>
          <w:szCs w:val="24"/>
        </w:rPr>
        <w:t>трехсторонней комиссии по регулированию</w:t>
      </w:r>
    </w:p>
    <w:p w:rsidR="002945BF" w:rsidRPr="002E6110" w:rsidRDefault="002945BF" w:rsidP="001647A6">
      <w:pPr>
        <w:rPr>
          <w:sz w:val="24"/>
          <w:szCs w:val="24"/>
        </w:rPr>
      </w:pPr>
      <w:r w:rsidRPr="002E6110">
        <w:rPr>
          <w:sz w:val="24"/>
          <w:szCs w:val="24"/>
        </w:rPr>
        <w:t xml:space="preserve">социально-трудовых отношений                                                       </w:t>
      </w:r>
      <w:r w:rsidR="00534F72">
        <w:rPr>
          <w:sz w:val="24"/>
          <w:szCs w:val="24"/>
        </w:rPr>
        <w:t xml:space="preserve">                           </w:t>
      </w:r>
      <w:r w:rsidRPr="002E6110">
        <w:rPr>
          <w:sz w:val="24"/>
          <w:szCs w:val="24"/>
        </w:rPr>
        <w:t xml:space="preserve">   </w:t>
      </w:r>
      <w:r w:rsidR="001E24CC" w:rsidRPr="002E6110">
        <w:rPr>
          <w:sz w:val="24"/>
          <w:szCs w:val="24"/>
        </w:rPr>
        <w:t>О.А.Четина</w:t>
      </w:r>
      <w:r w:rsidRPr="002E6110">
        <w:rPr>
          <w:sz w:val="24"/>
          <w:szCs w:val="24"/>
        </w:rPr>
        <w:t xml:space="preserve">                                                                 </w:t>
      </w:r>
    </w:p>
    <w:p w:rsidR="002945BF" w:rsidRPr="001647A6" w:rsidRDefault="002945BF" w:rsidP="001647A6">
      <w:pPr>
        <w:rPr>
          <w:sz w:val="24"/>
          <w:szCs w:val="24"/>
        </w:rPr>
      </w:pPr>
    </w:p>
    <w:p w:rsidR="002945BF" w:rsidRPr="001647A6" w:rsidRDefault="002945BF" w:rsidP="001647A6">
      <w:pPr>
        <w:rPr>
          <w:sz w:val="24"/>
          <w:szCs w:val="24"/>
        </w:rPr>
      </w:pPr>
    </w:p>
    <w:p w:rsidR="002945BF" w:rsidRPr="001647A6" w:rsidRDefault="002945BF" w:rsidP="001647A6">
      <w:pPr>
        <w:rPr>
          <w:sz w:val="24"/>
          <w:szCs w:val="24"/>
        </w:rPr>
      </w:pPr>
    </w:p>
    <w:p w:rsidR="002945BF" w:rsidRPr="001647A6" w:rsidRDefault="002945BF" w:rsidP="001647A6">
      <w:pPr>
        <w:rPr>
          <w:sz w:val="24"/>
          <w:szCs w:val="24"/>
        </w:rPr>
      </w:pPr>
    </w:p>
    <w:p w:rsidR="002945BF" w:rsidRPr="001647A6" w:rsidRDefault="002945BF" w:rsidP="001647A6">
      <w:pPr>
        <w:tabs>
          <w:tab w:val="left" w:pos="5387"/>
        </w:tabs>
        <w:ind w:right="4111"/>
        <w:rPr>
          <w:sz w:val="24"/>
          <w:szCs w:val="24"/>
        </w:rPr>
      </w:pPr>
    </w:p>
    <w:sectPr w:rsidR="002945BF" w:rsidRPr="001647A6" w:rsidSect="00A86C29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1F" w:rsidRDefault="00AF061F" w:rsidP="001E4FBF">
      <w:r>
        <w:separator/>
      </w:r>
    </w:p>
  </w:endnote>
  <w:endnote w:type="continuationSeparator" w:id="0">
    <w:p w:rsidR="00AF061F" w:rsidRDefault="00AF061F" w:rsidP="001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1F" w:rsidRDefault="00AF061F" w:rsidP="001E4FBF">
      <w:r>
        <w:separator/>
      </w:r>
    </w:p>
  </w:footnote>
  <w:footnote w:type="continuationSeparator" w:id="0">
    <w:p w:rsidR="00AF061F" w:rsidRDefault="00AF061F" w:rsidP="001E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1A7"/>
    <w:multiLevelType w:val="hybridMultilevel"/>
    <w:tmpl w:val="E79AA7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C26699"/>
    <w:multiLevelType w:val="hybridMultilevel"/>
    <w:tmpl w:val="A016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2724B"/>
    <w:multiLevelType w:val="multilevel"/>
    <w:tmpl w:val="88FA3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07306390"/>
    <w:multiLevelType w:val="hybridMultilevel"/>
    <w:tmpl w:val="FE0A8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E44EE"/>
    <w:multiLevelType w:val="multilevel"/>
    <w:tmpl w:val="C088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DA76B85"/>
    <w:multiLevelType w:val="hybridMultilevel"/>
    <w:tmpl w:val="E856AF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3387"/>
    <w:multiLevelType w:val="hybridMultilevel"/>
    <w:tmpl w:val="9398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34DDA"/>
    <w:multiLevelType w:val="hybridMultilevel"/>
    <w:tmpl w:val="41F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15A3B"/>
    <w:multiLevelType w:val="hybridMultilevel"/>
    <w:tmpl w:val="37309BCC"/>
    <w:lvl w:ilvl="0" w:tplc="75F22DC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0759"/>
    <w:multiLevelType w:val="hybridMultilevel"/>
    <w:tmpl w:val="37309BCC"/>
    <w:lvl w:ilvl="0" w:tplc="75F22DC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E24A5"/>
    <w:multiLevelType w:val="hybridMultilevel"/>
    <w:tmpl w:val="9398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94D30"/>
    <w:multiLevelType w:val="multilevel"/>
    <w:tmpl w:val="D46CC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2">
    <w:nsid w:val="2A4F61E0"/>
    <w:multiLevelType w:val="hybridMultilevel"/>
    <w:tmpl w:val="2982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1637B"/>
    <w:multiLevelType w:val="hybridMultilevel"/>
    <w:tmpl w:val="37309BCC"/>
    <w:lvl w:ilvl="0" w:tplc="75F22DC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D5213"/>
    <w:multiLevelType w:val="hybridMultilevel"/>
    <w:tmpl w:val="15F4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E32C8"/>
    <w:multiLevelType w:val="multilevel"/>
    <w:tmpl w:val="050E4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106083"/>
    <w:multiLevelType w:val="hybridMultilevel"/>
    <w:tmpl w:val="756C4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87195"/>
    <w:multiLevelType w:val="hybridMultilevel"/>
    <w:tmpl w:val="37309BCC"/>
    <w:lvl w:ilvl="0" w:tplc="75F22DC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E603A"/>
    <w:multiLevelType w:val="hybridMultilevel"/>
    <w:tmpl w:val="7E08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33F7D"/>
    <w:multiLevelType w:val="hybridMultilevel"/>
    <w:tmpl w:val="F6FA91D6"/>
    <w:lvl w:ilvl="0" w:tplc="5C0E0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35955"/>
    <w:multiLevelType w:val="hybridMultilevel"/>
    <w:tmpl w:val="15F4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F0585"/>
    <w:multiLevelType w:val="hybridMultilevel"/>
    <w:tmpl w:val="21AE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70592"/>
    <w:multiLevelType w:val="multilevel"/>
    <w:tmpl w:val="D7FC6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23">
    <w:nsid w:val="52541D10"/>
    <w:multiLevelType w:val="multilevel"/>
    <w:tmpl w:val="DD9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E35FD3"/>
    <w:multiLevelType w:val="hybridMultilevel"/>
    <w:tmpl w:val="E6A01F36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EC2917"/>
    <w:multiLevelType w:val="hybridMultilevel"/>
    <w:tmpl w:val="43C65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4B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0148A"/>
    <w:multiLevelType w:val="multilevel"/>
    <w:tmpl w:val="88FA3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7">
    <w:nsid w:val="5BD5355F"/>
    <w:multiLevelType w:val="hybridMultilevel"/>
    <w:tmpl w:val="686EC546"/>
    <w:lvl w:ilvl="0" w:tplc="C10C8B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14344B"/>
    <w:multiLevelType w:val="multilevel"/>
    <w:tmpl w:val="70783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00B5E95"/>
    <w:multiLevelType w:val="hybridMultilevel"/>
    <w:tmpl w:val="9398B2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434625"/>
    <w:multiLevelType w:val="hybridMultilevel"/>
    <w:tmpl w:val="9398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05CB0"/>
    <w:multiLevelType w:val="hybridMultilevel"/>
    <w:tmpl w:val="15F4A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D2F6C"/>
    <w:multiLevelType w:val="multilevel"/>
    <w:tmpl w:val="E782E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3">
    <w:nsid w:val="76B96B34"/>
    <w:multiLevelType w:val="hybridMultilevel"/>
    <w:tmpl w:val="CA9696C8"/>
    <w:lvl w:ilvl="0" w:tplc="F558E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E1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9E27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6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864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F63C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50D6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03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F874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FC0EC0"/>
    <w:multiLevelType w:val="hybridMultilevel"/>
    <w:tmpl w:val="9398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666E7"/>
    <w:multiLevelType w:val="hybridMultilevel"/>
    <w:tmpl w:val="2D2C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2"/>
  </w:num>
  <w:num w:numId="5">
    <w:abstractNumId w:val="19"/>
  </w:num>
  <w:num w:numId="6">
    <w:abstractNumId w:val="20"/>
  </w:num>
  <w:num w:numId="7">
    <w:abstractNumId w:val="14"/>
  </w:num>
  <w:num w:numId="8">
    <w:abstractNumId w:val="8"/>
  </w:num>
  <w:num w:numId="9">
    <w:abstractNumId w:val="24"/>
  </w:num>
  <w:num w:numId="10">
    <w:abstractNumId w:val="3"/>
  </w:num>
  <w:num w:numId="11">
    <w:abstractNumId w:val="1"/>
  </w:num>
  <w:num w:numId="12">
    <w:abstractNumId w:val="27"/>
  </w:num>
  <w:num w:numId="13">
    <w:abstractNumId w:val="18"/>
  </w:num>
  <w:num w:numId="14">
    <w:abstractNumId w:val="5"/>
  </w:num>
  <w:num w:numId="15">
    <w:abstractNumId w:val="33"/>
  </w:num>
  <w:num w:numId="16">
    <w:abstractNumId w:val="23"/>
  </w:num>
  <w:num w:numId="17">
    <w:abstractNumId w:val="35"/>
  </w:num>
  <w:num w:numId="18">
    <w:abstractNumId w:val="15"/>
  </w:num>
  <w:num w:numId="19">
    <w:abstractNumId w:val="9"/>
  </w:num>
  <w:num w:numId="20">
    <w:abstractNumId w:val="0"/>
  </w:num>
  <w:num w:numId="21">
    <w:abstractNumId w:val="17"/>
  </w:num>
  <w:num w:numId="22">
    <w:abstractNumId w:val="32"/>
  </w:num>
  <w:num w:numId="23">
    <w:abstractNumId w:val="11"/>
  </w:num>
  <w:num w:numId="24">
    <w:abstractNumId w:val="13"/>
  </w:num>
  <w:num w:numId="25">
    <w:abstractNumId w:val="12"/>
  </w:num>
  <w:num w:numId="26">
    <w:abstractNumId w:val="25"/>
  </w:num>
  <w:num w:numId="27">
    <w:abstractNumId w:val="4"/>
  </w:num>
  <w:num w:numId="28">
    <w:abstractNumId w:val="22"/>
  </w:num>
  <w:num w:numId="29">
    <w:abstractNumId w:val="29"/>
  </w:num>
  <w:num w:numId="30">
    <w:abstractNumId w:val="30"/>
  </w:num>
  <w:num w:numId="31">
    <w:abstractNumId w:val="6"/>
  </w:num>
  <w:num w:numId="32">
    <w:abstractNumId w:val="10"/>
  </w:num>
  <w:num w:numId="33">
    <w:abstractNumId w:val="34"/>
  </w:num>
  <w:num w:numId="34">
    <w:abstractNumId w:val="7"/>
  </w:num>
  <w:num w:numId="35">
    <w:abstractNumId w:val="2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E32"/>
    <w:rsid w:val="00002BFB"/>
    <w:rsid w:val="00043FC0"/>
    <w:rsid w:val="000901C2"/>
    <w:rsid w:val="00126977"/>
    <w:rsid w:val="001647A6"/>
    <w:rsid w:val="00172E7A"/>
    <w:rsid w:val="001B226F"/>
    <w:rsid w:val="001E24CC"/>
    <w:rsid w:val="001E4FBF"/>
    <w:rsid w:val="002009A6"/>
    <w:rsid w:val="00221D62"/>
    <w:rsid w:val="00274057"/>
    <w:rsid w:val="002945BF"/>
    <w:rsid w:val="002B586C"/>
    <w:rsid w:val="002E6110"/>
    <w:rsid w:val="00304E5D"/>
    <w:rsid w:val="00343123"/>
    <w:rsid w:val="003559D4"/>
    <w:rsid w:val="003E3BBF"/>
    <w:rsid w:val="003F34E1"/>
    <w:rsid w:val="0041428D"/>
    <w:rsid w:val="00443F1C"/>
    <w:rsid w:val="004560C9"/>
    <w:rsid w:val="0052247C"/>
    <w:rsid w:val="00534E57"/>
    <w:rsid w:val="00534F72"/>
    <w:rsid w:val="005A4AC6"/>
    <w:rsid w:val="005C4EBA"/>
    <w:rsid w:val="005D5EFB"/>
    <w:rsid w:val="00615769"/>
    <w:rsid w:val="006B2726"/>
    <w:rsid w:val="006C51D6"/>
    <w:rsid w:val="007203E7"/>
    <w:rsid w:val="0072324A"/>
    <w:rsid w:val="00742101"/>
    <w:rsid w:val="00744FE2"/>
    <w:rsid w:val="00764CB6"/>
    <w:rsid w:val="007C0336"/>
    <w:rsid w:val="007C6C89"/>
    <w:rsid w:val="007E6468"/>
    <w:rsid w:val="007F7C46"/>
    <w:rsid w:val="008232B1"/>
    <w:rsid w:val="00837DDD"/>
    <w:rsid w:val="00862201"/>
    <w:rsid w:val="0087262B"/>
    <w:rsid w:val="008A7CA0"/>
    <w:rsid w:val="008B3A6C"/>
    <w:rsid w:val="008F25AD"/>
    <w:rsid w:val="00905C05"/>
    <w:rsid w:val="00974E32"/>
    <w:rsid w:val="009B119C"/>
    <w:rsid w:val="009E4483"/>
    <w:rsid w:val="00A62AD5"/>
    <w:rsid w:val="00A86C29"/>
    <w:rsid w:val="00AB42D3"/>
    <w:rsid w:val="00AD6CAB"/>
    <w:rsid w:val="00AF061F"/>
    <w:rsid w:val="00AF55C0"/>
    <w:rsid w:val="00B056DF"/>
    <w:rsid w:val="00B15957"/>
    <w:rsid w:val="00B17B09"/>
    <w:rsid w:val="00B4577E"/>
    <w:rsid w:val="00B94976"/>
    <w:rsid w:val="00B952B8"/>
    <w:rsid w:val="00BA2C33"/>
    <w:rsid w:val="00BB1106"/>
    <w:rsid w:val="00BD19B8"/>
    <w:rsid w:val="00BE6203"/>
    <w:rsid w:val="00C969F8"/>
    <w:rsid w:val="00CA7E2F"/>
    <w:rsid w:val="00D064CE"/>
    <w:rsid w:val="00D57EFC"/>
    <w:rsid w:val="00D60C2D"/>
    <w:rsid w:val="00DE7FAD"/>
    <w:rsid w:val="00E40C83"/>
    <w:rsid w:val="00E5240F"/>
    <w:rsid w:val="00F30242"/>
    <w:rsid w:val="00F74C88"/>
    <w:rsid w:val="00FA16D8"/>
    <w:rsid w:val="00FB6C9D"/>
    <w:rsid w:val="00FC1D98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12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43123"/>
    <w:pPr>
      <w:ind w:left="720"/>
      <w:contextualSpacing/>
    </w:pPr>
    <w:rPr>
      <w:sz w:val="24"/>
      <w:szCs w:val="24"/>
    </w:rPr>
  </w:style>
  <w:style w:type="character" w:customStyle="1" w:styleId="blk1">
    <w:name w:val="blk1"/>
    <w:basedOn w:val="a0"/>
    <w:rsid w:val="00343123"/>
    <w:rPr>
      <w:vanish w:val="0"/>
      <w:webHidden w:val="0"/>
      <w:specVanish w:val="0"/>
    </w:rPr>
  </w:style>
  <w:style w:type="character" w:styleId="a4">
    <w:name w:val="Strong"/>
    <w:basedOn w:val="a0"/>
    <w:qFormat/>
    <w:rsid w:val="002945BF"/>
    <w:rPr>
      <w:b/>
      <w:bCs/>
    </w:rPr>
  </w:style>
  <w:style w:type="paragraph" w:customStyle="1" w:styleId="Style5">
    <w:name w:val="Style5"/>
    <w:basedOn w:val="a"/>
    <w:rsid w:val="002945BF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45B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945BF"/>
    <w:rPr>
      <w:rFonts w:ascii="Impact" w:hAnsi="Impact" w:cs="Impact"/>
      <w:sz w:val="22"/>
      <w:szCs w:val="22"/>
    </w:rPr>
  </w:style>
  <w:style w:type="paragraph" w:customStyle="1" w:styleId="Style7">
    <w:name w:val="Style7"/>
    <w:basedOn w:val="a"/>
    <w:rsid w:val="00294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9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72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23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1E24CC"/>
    <w:pPr>
      <w:spacing w:after="120"/>
      <w:ind w:left="283"/>
    </w:pPr>
    <w:rPr>
      <w:rFonts w:ascii="NTTimes/Cyrillic" w:hAnsi="NTTimes/Cyrillic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1E24CC"/>
    <w:rPr>
      <w:rFonts w:ascii="NTTimes/Cyrillic" w:eastAsia="Times New Roman" w:hAnsi="NTTimes/Cyrillic" w:cs="Times New Roman"/>
      <w:sz w:val="24"/>
      <w:szCs w:val="24"/>
      <w:lang w:val="en-US" w:eastAsia="ru-RU"/>
    </w:rPr>
  </w:style>
  <w:style w:type="paragraph" w:styleId="a7">
    <w:name w:val="Plain Text"/>
    <w:basedOn w:val="a"/>
    <w:link w:val="a8"/>
    <w:uiPriority w:val="99"/>
    <w:rsid w:val="00764CB6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764C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4AC6"/>
    <w:pPr>
      <w:spacing w:after="120"/>
    </w:pPr>
  </w:style>
  <w:style w:type="character" w:customStyle="1" w:styleId="aa">
    <w:name w:val="Основной текст Знак"/>
    <w:basedOn w:val="a0"/>
    <w:link w:val="a9"/>
    <w:rsid w:val="005A4AC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5A4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регистрационные поля"/>
    <w:basedOn w:val="a"/>
    <w:rsid w:val="007C0336"/>
    <w:pPr>
      <w:spacing w:line="240" w:lineRule="exact"/>
      <w:jc w:val="center"/>
    </w:pPr>
    <w:rPr>
      <w:sz w:val="28"/>
      <w:lang w:val="en-US"/>
    </w:rPr>
  </w:style>
  <w:style w:type="paragraph" w:styleId="ac">
    <w:name w:val="Normal (Web)"/>
    <w:basedOn w:val="a"/>
    <w:uiPriority w:val="99"/>
    <w:unhideWhenUsed/>
    <w:rsid w:val="00F30242"/>
    <w:pPr>
      <w:spacing w:after="150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1E4F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E4FBF"/>
    <w:rPr>
      <w:rFonts w:ascii="Times New Roman" w:eastAsia="Times New Roman" w:hAnsi="Times New Roman" w:cs="Times New Roman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E4F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E4FBF"/>
    <w:rPr>
      <w:rFonts w:ascii="Times New Roman" w:eastAsia="Times New Roman" w:hAnsi="Times New Roman" w:cs="Times New Roman"/>
      <w:szCs w:val="20"/>
      <w:lang w:eastAsia="ru-RU"/>
    </w:rPr>
  </w:style>
  <w:style w:type="table" w:styleId="af1">
    <w:name w:val="Table Grid"/>
    <w:basedOn w:val="a1"/>
    <w:uiPriority w:val="59"/>
    <w:rsid w:val="00B15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B159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6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5C4E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4E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3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2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43123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43123"/>
    <w:pPr>
      <w:ind w:left="720"/>
      <w:contextualSpacing/>
    </w:pPr>
    <w:rPr>
      <w:sz w:val="24"/>
      <w:szCs w:val="24"/>
    </w:rPr>
  </w:style>
  <w:style w:type="character" w:customStyle="1" w:styleId="blk1">
    <w:name w:val="blk1"/>
    <w:basedOn w:val="a0"/>
    <w:rsid w:val="00343123"/>
    <w:rPr>
      <w:vanish w:val="0"/>
      <w:webHidden w:val="0"/>
      <w:specVanish w:val="0"/>
    </w:rPr>
  </w:style>
  <w:style w:type="character" w:styleId="a4">
    <w:name w:val="Strong"/>
    <w:basedOn w:val="a0"/>
    <w:qFormat/>
    <w:rsid w:val="002945BF"/>
    <w:rPr>
      <w:b/>
      <w:bCs/>
    </w:rPr>
  </w:style>
  <w:style w:type="paragraph" w:customStyle="1" w:styleId="Style5">
    <w:name w:val="Style5"/>
    <w:basedOn w:val="a"/>
    <w:rsid w:val="002945BF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2945B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945BF"/>
    <w:rPr>
      <w:rFonts w:ascii="Impact" w:hAnsi="Impact" w:cs="Impact"/>
      <w:sz w:val="22"/>
      <w:szCs w:val="22"/>
    </w:rPr>
  </w:style>
  <w:style w:type="paragraph" w:customStyle="1" w:styleId="Style7">
    <w:name w:val="Style7"/>
    <w:basedOn w:val="a"/>
    <w:rsid w:val="00294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9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rsid w:val="0072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23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1E24CC"/>
    <w:pPr>
      <w:spacing w:after="120"/>
      <w:ind w:left="283"/>
    </w:pPr>
    <w:rPr>
      <w:rFonts w:ascii="NTTimes/Cyrillic" w:hAnsi="NTTimes/Cyrillic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1E24CC"/>
    <w:rPr>
      <w:rFonts w:ascii="NTTimes/Cyrillic" w:eastAsia="Times New Roman" w:hAnsi="NTTimes/Cyrillic" w:cs="Times New Roman"/>
      <w:sz w:val="24"/>
      <w:szCs w:val="24"/>
      <w:lang w:val="en-US" w:eastAsia="ru-RU"/>
    </w:rPr>
  </w:style>
  <w:style w:type="paragraph" w:styleId="a7">
    <w:name w:val="Plain Text"/>
    <w:basedOn w:val="a"/>
    <w:link w:val="a8"/>
    <w:uiPriority w:val="99"/>
    <w:rsid w:val="00764CB6"/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764C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A4AC6"/>
    <w:pPr>
      <w:spacing w:after="120"/>
    </w:pPr>
  </w:style>
  <w:style w:type="character" w:customStyle="1" w:styleId="aa">
    <w:name w:val="Основной текст Знак"/>
    <w:basedOn w:val="a0"/>
    <w:link w:val="a9"/>
    <w:rsid w:val="005A4AC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5A4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b">
    <w:name w:val="регистрационные поля"/>
    <w:basedOn w:val="a"/>
    <w:rsid w:val="007C0336"/>
    <w:pPr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8AD2AA474B988F7EC26E3F6DBFCE78192088692AA68D69D80534F2B432DBBACC84EB9843DC40B8O8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98CB-CB43-46AA-8116-229231FB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2021-04-14T04:13:00Z</cp:lastPrinted>
  <dcterms:created xsi:type="dcterms:W3CDTF">2018-05-24T08:18:00Z</dcterms:created>
  <dcterms:modified xsi:type="dcterms:W3CDTF">2022-04-02T08:24:00Z</dcterms:modified>
</cp:coreProperties>
</file>