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C6279A" w:rsidRPr="00C6279A">
        <w:rPr>
          <w:rFonts w:cstheme="minorHAnsi"/>
          <w:b/>
          <w:sz w:val="24"/>
          <w:szCs w:val="24"/>
        </w:rPr>
        <w:t>15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C6279A">
        <w:rPr>
          <w:rFonts w:cstheme="minorHAnsi"/>
          <w:b/>
          <w:sz w:val="24"/>
          <w:szCs w:val="24"/>
        </w:rPr>
        <w:t>– 1</w:t>
      </w:r>
      <w:r w:rsidR="00C6279A" w:rsidRPr="00C6279A">
        <w:rPr>
          <w:rFonts w:cstheme="minorHAnsi"/>
          <w:b/>
          <w:sz w:val="24"/>
          <w:szCs w:val="24"/>
        </w:rPr>
        <w:t xml:space="preserve">9 </w:t>
      </w:r>
      <w:r w:rsidR="00436413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2A76B5" w:rsidP="002A76B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</w:t>
      </w:r>
      <w:r w:rsidRPr="002A76B5">
        <w:rPr>
          <w:rFonts w:cstheme="minorHAnsi"/>
          <w:b/>
          <w:sz w:val="24"/>
          <w:szCs w:val="24"/>
          <w:lang w:val="en-US"/>
        </w:rPr>
        <w:t>тренинг</w:t>
      </w:r>
      <w:r w:rsidRPr="002A76B5">
        <w:rPr>
          <w:rFonts w:cstheme="minorHAnsi"/>
          <w:b/>
          <w:sz w:val="24"/>
          <w:szCs w:val="24"/>
        </w:rPr>
        <w:t xml:space="preserve"> «Проектное управление»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Цель тренинга – развитие навыков проектной деятельности и навыков управления проект</w:t>
      </w:r>
      <w:r>
        <w:rPr>
          <w:rFonts w:cstheme="minorHAnsi"/>
          <w:sz w:val="24"/>
          <w:szCs w:val="24"/>
        </w:rPr>
        <w:t>ами в своей сфере деятельности.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Содержание тренинга</w:t>
      </w:r>
      <w:r>
        <w:rPr>
          <w:rFonts w:cstheme="minorHAnsi"/>
          <w:sz w:val="24"/>
          <w:szCs w:val="24"/>
          <w:lang w:val="en-US"/>
        </w:rPr>
        <w:t>: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Что такое проект и проектное управление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Основные процессы проектной деятельности и системы проектного управления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Инициация проекта, резюме проекта, бюджет проекта, план реализации проекта, финансовый план и оценка эффективности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Формирование команды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Запуск и анализ пилотного проекта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Дата проведения: 1</w:t>
      </w:r>
      <w:r w:rsidRPr="002A76B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февраля 2021 года. Начало в 1</w:t>
      </w:r>
      <w:r w:rsidRPr="002A76B5">
        <w:rPr>
          <w:rFonts w:cstheme="minorHAnsi"/>
          <w:sz w:val="24"/>
          <w:szCs w:val="24"/>
        </w:rPr>
        <w:t xml:space="preserve">5.00. Участие бесплатное. Формат проведения – онлайн. Регистрация по ссылке </w:t>
      </w:r>
      <w:hyperlink r:id="rId5" w:history="1">
        <w:r w:rsidRPr="001A4D63">
          <w:rPr>
            <w:rStyle w:val="a3"/>
            <w:rFonts w:cstheme="minorHAnsi"/>
            <w:sz w:val="24"/>
            <w:szCs w:val="24"/>
          </w:rPr>
          <w:t>https://msppk.ru/events/proektnoe-upravlenie/</w:t>
        </w:r>
      </w:hyperlink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</w:p>
    <w:p w:rsidR="000C3BA5" w:rsidRPr="002A76B5" w:rsidRDefault="00436413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Онлайн-консультация</w:t>
      </w:r>
      <w:r w:rsidR="00C768F3" w:rsidRPr="002A76B5">
        <w:rPr>
          <w:rFonts w:cstheme="minorHAnsi"/>
          <w:b/>
          <w:sz w:val="24"/>
          <w:szCs w:val="24"/>
        </w:rPr>
        <w:t xml:space="preserve"> </w:t>
      </w:r>
      <w:r w:rsidR="00045542" w:rsidRPr="002A76B5">
        <w:rPr>
          <w:rFonts w:cstheme="minorHAnsi"/>
          <w:b/>
          <w:sz w:val="24"/>
          <w:szCs w:val="24"/>
        </w:rPr>
        <w:t>«</w:t>
      </w:r>
      <w:r w:rsidRPr="002A76B5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 w:rsidRPr="002A76B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проведет серию консультаций 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8E51D0" w:rsidRPr="002A76B5" w:rsidRDefault="00B440E2" w:rsidP="00436413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A76B5">
        <w:rPr>
          <w:rFonts w:cstheme="minorHAnsi"/>
          <w:sz w:val="24"/>
          <w:szCs w:val="24"/>
          <w:lang w:val="en-US"/>
        </w:rPr>
        <w:t>16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6" w:history="1">
        <w:r w:rsidR="002A76B5" w:rsidRPr="001A4D63">
          <w:rPr>
            <w:rStyle w:val="a3"/>
          </w:rPr>
          <w:t>https://msppk.ru/events/uchastie-subektov-msp-v-konkursnom-otbore-po-predostavleniyu-subsidiy-v-tselyakh-vozmeshcheniya-ch/</w:t>
        </w:r>
      </w:hyperlink>
    </w:p>
    <w:p w:rsidR="00C768F3" w:rsidRPr="00B440E2" w:rsidRDefault="00E75076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="002A76B5" w:rsidRPr="002A76B5">
        <w:rPr>
          <w:rFonts w:cstheme="minorHAnsi"/>
          <w:b/>
          <w:sz w:val="24"/>
          <w:szCs w:val="24"/>
        </w:rPr>
        <w:t>Подготовка годовой отчетности: ошибки при применении упрощенной и патентной систем налогообложения, исчисления и оплаты НДФЛ и страховых взносов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2A76B5" w:rsidRPr="002A76B5" w:rsidRDefault="002A76B5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семинара: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Типовые ошибки, допускаемые налогоплательщиками при применении упрощенной и патентной систем налогообложения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Анализ действующих на территории Пермского края налоговых льгот и освобождений при применении упрощенной и патентной систем налогообложения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Особенности осуществления сделок с самозанятыми: учет расходов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НДФЛ и Страховые взносы: особенности применения пониженных тарифов и практика переквалификации сумм выплат в пользу физических лиц</w:t>
      </w:r>
    </w:p>
    <w:p w:rsidR="002A76B5" w:rsidRPr="002A76B5" w:rsidRDefault="00E75076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Спикер: </w:t>
      </w:r>
      <w:r w:rsidR="002A76B5" w:rsidRPr="002A76B5">
        <w:rPr>
          <w:sz w:val="24"/>
          <w:szCs w:val="24"/>
        </w:rPr>
        <w:t>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E75076" w:rsidRPr="002A76B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E75076" w:rsidRPr="002778F6">
        <w:rPr>
          <w:sz w:val="24"/>
          <w:szCs w:val="24"/>
        </w:rPr>
        <w:t>1</w:t>
      </w:r>
      <w:r w:rsidR="002A76B5" w:rsidRPr="002778F6">
        <w:rPr>
          <w:sz w:val="24"/>
          <w:szCs w:val="24"/>
        </w:rPr>
        <w:t>6</w:t>
      </w:r>
      <w:r w:rsidR="00B440E2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февраля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2A76B5" w:rsidRPr="002778F6">
        <w:rPr>
          <w:sz w:val="24"/>
          <w:szCs w:val="24"/>
        </w:rPr>
        <w:t>0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2A76B5" w:rsidRPr="001A4D63">
          <w:rPr>
            <w:rStyle w:val="a3"/>
          </w:rPr>
          <w:t>https://msppk.ru/events/podgotovka-godovoy-otchetnosti-oshibki-pri-primenenii-uproshchennoy-i-patentnoy-sistem-nalogooblozhe/</w:t>
        </w:r>
      </w:hyperlink>
    </w:p>
    <w:p w:rsidR="002A76B5" w:rsidRPr="002A76B5" w:rsidRDefault="002A76B5" w:rsidP="005126E6">
      <w:pPr>
        <w:jc w:val="both"/>
      </w:pPr>
    </w:p>
    <w:p w:rsidR="00C76585" w:rsidRPr="00B440E2" w:rsidRDefault="00EE1B0A" w:rsidP="00EE1B0A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b/>
          <w:sz w:val="24"/>
          <w:szCs w:val="24"/>
        </w:rPr>
        <w:t>Вебинар</w:t>
      </w:r>
      <w:r w:rsidR="00C76585" w:rsidRPr="00B440E2">
        <w:rPr>
          <w:rFonts w:cstheme="minorHAnsi"/>
          <w:b/>
          <w:sz w:val="24"/>
          <w:szCs w:val="24"/>
        </w:rPr>
        <w:t xml:space="preserve"> «</w:t>
      </w:r>
      <w:r w:rsidRPr="00EE1B0A">
        <w:rPr>
          <w:rFonts w:cstheme="minorHAnsi"/>
          <w:b/>
          <w:sz w:val="24"/>
          <w:szCs w:val="24"/>
        </w:rPr>
        <w:t>Кадастровая стоимость объектов недвижим</w:t>
      </w:r>
      <w:r>
        <w:rPr>
          <w:rFonts w:cstheme="minorHAnsi"/>
          <w:b/>
          <w:sz w:val="24"/>
          <w:szCs w:val="24"/>
        </w:rPr>
        <w:t>ости в Пермском крае в 2021 год</w:t>
      </w:r>
      <w:r w:rsidRPr="00EE1B0A">
        <w:rPr>
          <w:rFonts w:cstheme="minorHAnsi"/>
          <w:b/>
          <w:sz w:val="24"/>
          <w:szCs w:val="24"/>
        </w:rPr>
        <w:t>у</w:t>
      </w:r>
      <w:r w:rsidR="00C76585" w:rsidRPr="00B440E2">
        <w:rPr>
          <w:rFonts w:cstheme="minorHAnsi"/>
          <w:b/>
          <w:sz w:val="24"/>
          <w:szCs w:val="24"/>
        </w:rPr>
        <w:t>»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Программа мероприятия: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 xml:space="preserve">Кадастровая стоимость и ее влияние на налоги (понятие кадастровой стоимости; порядок определения и установления кадастровой стоимости; влияние кадастровой </w:t>
      </w:r>
      <w:r>
        <w:rPr>
          <w:rFonts w:cstheme="minorHAnsi"/>
          <w:sz w:val="24"/>
          <w:szCs w:val="24"/>
        </w:rPr>
        <w:t>стоимости на налог на имущество</w:t>
      </w:r>
      <w:r w:rsidRPr="00EE1B0A">
        <w:rPr>
          <w:rFonts w:cstheme="minorHAnsi"/>
          <w:sz w:val="24"/>
          <w:szCs w:val="24"/>
        </w:rPr>
        <w:t>; лица, котор</w:t>
      </w:r>
      <w:r>
        <w:rPr>
          <w:rFonts w:cstheme="minorHAnsi"/>
          <w:sz w:val="24"/>
          <w:szCs w:val="24"/>
        </w:rPr>
        <w:t>ые освобождены от уплаты налога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Объекты, налоговая база по которым определяется как кадастровая стоимость (кадастровая стоимость земельных участков; кадастровая стоимость объе</w:t>
      </w:r>
      <w:r>
        <w:rPr>
          <w:rFonts w:cstheme="minorHAnsi"/>
          <w:sz w:val="24"/>
          <w:szCs w:val="24"/>
        </w:rPr>
        <w:t>ктов капитального строительства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Снижение кадастровой стоимости в 2021 году (последние изменения в законодательстве по вопросам снижения кадастровой стоимости; практические особенности снижения кадастровой стоимости; внесудебный и судебный порядок снижения кадастровой стоимости; применение результатов с</w:t>
      </w:r>
      <w:r>
        <w:rPr>
          <w:rFonts w:cstheme="minorHAnsi"/>
          <w:sz w:val="24"/>
          <w:szCs w:val="24"/>
        </w:rPr>
        <w:t>нижения кадастровой стоимости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Спикер: Зернина Дарья Александровна (ООО «Компания «ИнКорс). Модератор: Зернин Константин Александрович (Генеральный директор ООО «Компания «ИнКорс»)</w:t>
      </w:r>
    </w:p>
    <w:p w:rsidR="00271B7C" w:rsidRPr="00EE1B0A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271B7C" w:rsidRPr="002778F6">
        <w:rPr>
          <w:sz w:val="24"/>
          <w:szCs w:val="24"/>
        </w:rPr>
        <w:t>1</w:t>
      </w:r>
      <w:r w:rsidR="00FB202B" w:rsidRPr="002778F6">
        <w:rPr>
          <w:sz w:val="24"/>
          <w:szCs w:val="24"/>
        </w:rPr>
        <w:t>6</w:t>
      </w:r>
      <w:r w:rsidR="00B31ABF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Начало в 1</w:t>
      </w:r>
      <w:r w:rsidR="00FB202B" w:rsidRPr="002778F6"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>
        <w:t xml:space="preserve">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EE1B0A" w:rsidRPr="001A4D63">
          <w:rPr>
            <w:rStyle w:val="a3"/>
          </w:rPr>
          <w:t>https://msppk.ru/events/kadastrovaya-stoimost-obektov-nedvizhimosti-v-permskom-krae-v-2021-godu/</w:t>
        </w:r>
      </w:hyperlink>
    </w:p>
    <w:p w:rsidR="00EE1B0A" w:rsidRPr="00EE1B0A" w:rsidRDefault="00EE1B0A" w:rsidP="00C76585">
      <w:pPr>
        <w:jc w:val="both"/>
      </w:pPr>
    </w:p>
    <w:p w:rsidR="0057531B" w:rsidRPr="00B440E2" w:rsidRDefault="00FB202B" w:rsidP="00FB202B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b/>
          <w:sz w:val="24"/>
          <w:szCs w:val="24"/>
        </w:rPr>
        <w:t>Вебинар</w:t>
      </w:r>
      <w:r w:rsidR="009C2A4A" w:rsidRPr="009C2A4A">
        <w:rPr>
          <w:rFonts w:cstheme="minorHAnsi"/>
          <w:b/>
          <w:sz w:val="24"/>
          <w:szCs w:val="24"/>
        </w:rPr>
        <w:t xml:space="preserve"> </w:t>
      </w:r>
      <w:r w:rsidR="0017741D" w:rsidRPr="0017741D">
        <w:rPr>
          <w:rFonts w:cstheme="minorHAnsi"/>
          <w:b/>
          <w:sz w:val="24"/>
          <w:szCs w:val="24"/>
        </w:rPr>
        <w:t>«</w:t>
      </w:r>
      <w:r w:rsidRPr="00FB202B">
        <w:rPr>
          <w:rFonts w:cstheme="minorHAnsi"/>
          <w:b/>
          <w:sz w:val="24"/>
          <w:szCs w:val="24"/>
        </w:rPr>
        <w:t>Актуальные вопросы налогообложения в 2021 году</w:t>
      </w:r>
      <w:r w:rsidR="0017741D" w:rsidRPr="0017741D">
        <w:rPr>
          <w:rFonts w:cstheme="minorHAnsi"/>
          <w:b/>
          <w:sz w:val="24"/>
          <w:szCs w:val="24"/>
        </w:rPr>
        <w:t>»</w:t>
      </w:r>
    </w:p>
    <w:p w:rsidR="00FB202B" w:rsidRPr="00FB202B" w:rsidRDefault="00FB202B" w:rsidP="00FB202B">
      <w:p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На мероприятии предусмотрены выступления сотрудников УФНС России по Пер</w:t>
      </w:r>
      <w:r>
        <w:rPr>
          <w:rFonts w:cstheme="minorHAnsi"/>
          <w:sz w:val="24"/>
          <w:szCs w:val="24"/>
        </w:rPr>
        <w:t>мскому краю по следующим темам: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«Порядок возмещения НДС. Причины отказа в возмещении НДС». Спикер: главный государственный налоговой инспектор контрольно-аналитического отдела Н.А. Рубцова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«Риск-ориентированный подход, применяемый налоговыми органами, при выборе объектов для проведения выездных налоговых проверок». Спикер: начальника отдела анализа и планирования налоговых проверок Н.Н. Михеева.</w:t>
      </w:r>
    </w:p>
    <w:p w:rsidR="00FB202B" w:rsidRDefault="0057531B" w:rsidP="00437F19">
      <w:pPr>
        <w:jc w:val="both"/>
        <w:rPr>
          <w:lang w:val="en-US"/>
        </w:rPr>
      </w:pPr>
      <w:r w:rsidRPr="0079124F">
        <w:rPr>
          <w:sz w:val="24"/>
          <w:szCs w:val="24"/>
        </w:rPr>
        <w:t>Дата проведения:</w:t>
      </w:r>
      <w:r w:rsidR="00FB202B">
        <w:t xml:space="preserve"> </w:t>
      </w:r>
      <w:r w:rsidR="00FB202B" w:rsidRPr="002778F6">
        <w:rPr>
          <w:sz w:val="24"/>
          <w:szCs w:val="24"/>
        </w:rPr>
        <w:t>16</w:t>
      </w:r>
      <w:r w:rsidR="009C2A4A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</w:t>
      </w:r>
      <w:r w:rsidR="00FB202B" w:rsidRPr="002778F6">
        <w:rPr>
          <w:sz w:val="24"/>
          <w:szCs w:val="24"/>
        </w:rPr>
        <w:t>Начало в 14</w:t>
      </w:r>
      <w:r w:rsidRPr="002778F6">
        <w:rPr>
          <w:sz w:val="24"/>
          <w:szCs w:val="24"/>
        </w:rPr>
        <w:t>.00.</w:t>
      </w:r>
      <w:r>
        <w:t xml:space="preserve">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FB202B" w:rsidRPr="001A4D63">
          <w:rPr>
            <w:rStyle w:val="a3"/>
          </w:rPr>
          <w:t>https://msppk.ru/events/aktualnye-voprosy-nalogooblozheniya-v-2021-god/</w:t>
        </w:r>
      </w:hyperlink>
    </w:p>
    <w:p w:rsidR="00FB202B" w:rsidRPr="00FB202B" w:rsidRDefault="00FB202B" w:rsidP="00437F19">
      <w:pPr>
        <w:jc w:val="both"/>
        <w:rPr>
          <w:lang w:val="en-US"/>
        </w:rPr>
      </w:pPr>
    </w:p>
    <w:p w:rsidR="00FB202B" w:rsidRPr="002778F6" w:rsidRDefault="002778F6" w:rsidP="00FB202B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2778F6">
        <w:rPr>
          <w:b/>
          <w:sz w:val="24"/>
          <w:szCs w:val="24"/>
          <w:lang w:val="en-US"/>
        </w:rPr>
        <w:t>Онлайн-тренинг</w:t>
      </w:r>
      <w:r w:rsidR="00FB202B" w:rsidRPr="002778F6">
        <w:rPr>
          <w:b/>
          <w:sz w:val="24"/>
          <w:szCs w:val="24"/>
        </w:rPr>
        <w:t xml:space="preserve"> «Азбука предпринимателя»</w:t>
      </w:r>
    </w:p>
    <w:p w:rsidR="00FB202B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Цель – обучение навыкам создания и запуска бизнеса «с нуля» и ре</w:t>
      </w:r>
      <w:r>
        <w:rPr>
          <w:sz w:val="24"/>
          <w:szCs w:val="24"/>
        </w:rPr>
        <w:t>ализации новых бизнес-проектов.</w:t>
      </w:r>
      <w:r w:rsidRPr="00FB202B">
        <w:rPr>
          <w:sz w:val="24"/>
          <w:szCs w:val="24"/>
        </w:rPr>
        <w:t xml:space="preserve"> Результат – разработка бизнес-плана по выбр</w:t>
      </w:r>
      <w:r>
        <w:rPr>
          <w:sz w:val="24"/>
          <w:szCs w:val="24"/>
        </w:rPr>
        <w:t>анному направлению деятельности</w:t>
      </w:r>
    </w:p>
    <w:p w:rsidR="00FB202B" w:rsidRPr="00FB202B" w:rsidRDefault="00FB202B" w:rsidP="00FB20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Основные этапы программы: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плюсы и минусы существующих организационно-правовых форм малого бизнеса;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процедура регистрации в качестве индивидуального предпринимателя (ИП) и юридического лица (ООО);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изучение специальных налоговых режимов для субъектов МСП;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разработка бизнес-идеи, тестирование ниши;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написание бизнес-плана и детальный анализ отдельных его составляющих: резюме, маркетинговый план, производственный план, организационный план, калькуляция себестоимости, финансовый план, стартовый капитал и его источники и др.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693C15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Дата проведения: 16, 17, 18, 19, 20</w:t>
      </w:r>
      <w:r>
        <w:rPr>
          <w:sz w:val="24"/>
          <w:szCs w:val="24"/>
        </w:rPr>
        <w:t xml:space="preserve"> февраля 2020 года. Начало в 1</w:t>
      </w:r>
      <w:r w:rsidRPr="00FB202B">
        <w:rPr>
          <w:sz w:val="24"/>
          <w:szCs w:val="24"/>
        </w:rPr>
        <w:t xml:space="preserve">7.00. Участие бесплатное. Формат проведения – онлайн. Открыта регистрация по ссылке </w:t>
      </w:r>
      <w:hyperlink r:id="rId13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r w:rsidRPr="001A4D63">
          <w:rPr>
            <w:rStyle w:val="a3"/>
            <w:sz w:val="24"/>
            <w:szCs w:val="24"/>
            <w:lang w:val="en-US"/>
          </w:rPr>
          <w:t>msppk</w:t>
        </w:r>
        <w:r w:rsidRPr="001A4D63">
          <w:rPr>
            <w:rStyle w:val="a3"/>
            <w:sz w:val="24"/>
            <w:szCs w:val="24"/>
          </w:rPr>
          <w:t>.</w:t>
        </w:r>
        <w:r w:rsidRPr="001A4D63">
          <w:rPr>
            <w:rStyle w:val="a3"/>
            <w:sz w:val="24"/>
            <w:szCs w:val="24"/>
            <w:lang w:val="en-US"/>
          </w:rPr>
          <w:t>ru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azbuka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predprinimatelya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fev</w:t>
        </w:r>
        <w:r w:rsidRPr="001A4D63">
          <w:rPr>
            <w:rStyle w:val="a3"/>
            <w:sz w:val="24"/>
            <w:szCs w:val="24"/>
          </w:rPr>
          <w:t>/</w:t>
        </w:r>
      </w:hyperlink>
    </w:p>
    <w:p w:rsidR="004C2EEF" w:rsidRPr="00FB202B" w:rsidRDefault="004C2EEF" w:rsidP="00FB202B">
      <w:pPr>
        <w:jc w:val="both"/>
        <w:rPr>
          <w:sz w:val="24"/>
          <w:szCs w:val="24"/>
        </w:rPr>
      </w:pPr>
    </w:p>
    <w:p w:rsidR="004C2EEF" w:rsidRPr="004C2EEF" w:rsidRDefault="004C2EEF" w:rsidP="004C2EEF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4C2EEF">
        <w:rPr>
          <w:b/>
          <w:sz w:val="24"/>
          <w:szCs w:val="24"/>
        </w:rPr>
        <w:t>Вебинар «Эффективное управление временем»</w:t>
      </w:r>
    </w:p>
    <w:p w:rsidR="004C2EEF" w:rsidRPr="004C2EEF" w:rsidRDefault="004C2EEF" w:rsidP="004C2EEF">
      <w:p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  <w:lang w:val="en-US"/>
        </w:rPr>
        <w:t>Программа: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</w:rPr>
        <w:t>Топ-пять инструментов планирования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Как выделить время на главное: распределяем время на работу и отдых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Десять причин потери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Современные технологии планирования.</w:t>
      </w:r>
    </w:p>
    <w:p w:rsidR="004C2EEF" w:rsidRPr="004C2EEF" w:rsidRDefault="004C2EEF" w:rsidP="004C2EEF">
      <w:p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Спикер: Екатерина Абашина, предприниматель, руководитель центра образовательных технологий «Формула бизнеса», продюсер деловых онлайн и офлайн мероприятий, сертифицированный бизнес-тренер и на</w:t>
      </w:r>
      <w:r>
        <w:rPr>
          <w:sz w:val="24"/>
          <w:szCs w:val="24"/>
        </w:rPr>
        <w:t>ставник проектной деятельности.</w:t>
      </w:r>
    </w:p>
    <w:p w:rsidR="004C2EEF" w:rsidRDefault="004C2EEF" w:rsidP="004C2EEF">
      <w:p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</w:rPr>
        <w:t>Гости встречи:</w:t>
      </w:r>
      <w:r>
        <w:rPr>
          <w:sz w:val="24"/>
          <w:szCs w:val="24"/>
          <w:lang w:val="en-US"/>
        </w:rPr>
        <w:t xml:space="preserve"> 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Константин Ершов —</w:t>
      </w:r>
      <w:r w:rsidRPr="004C2EEF">
        <w:rPr>
          <w:sz w:val="24"/>
          <w:szCs w:val="24"/>
        </w:rPr>
        <w:tab/>
        <w:t xml:space="preserve"> бизнес-тренер, кандидат экономических наук, председатель Президиума Пермского Регионального отделения МОО «Федерация управленческой борьбы».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Евгений Заварыкин — бизнес-тренер, бизнес-наставник, предприниматель.</w:t>
      </w:r>
    </w:p>
    <w:p w:rsidR="00FB202B" w:rsidRPr="004C2EEF" w:rsidRDefault="004C2EEF" w:rsidP="00FB202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1</w:t>
      </w:r>
      <w:r w:rsidRPr="004C2EEF">
        <w:rPr>
          <w:sz w:val="24"/>
          <w:szCs w:val="24"/>
        </w:rPr>
        <w:t xml:space="preserve">7 февраля 2020 года. Начало в 14.00. Участие бесплатное. Формат проведения – онлайн. Открыта регистрация по ссылке </w:t>
      </w:r>
      <w:hyperlink r:id="rId14" w:history="1">
        <w:r w:rsidRPr="001A4D63">
          <w:rPr>
            <w:rStyle w:val="a3"/>
            <w:sz w:val="24"/>
            <w:szCs w:val="24"/>
          </w:rPr>
          <w:t>https://msppk.ru/events/effektivnoe-upravlenie-vremenem/</w:t>
        </w:r>
      </w:hyperlink>
    </w:p>
    <w:p w:rsidR="004C2EEF" w:rsidRDefault="004C2EEF" w:rsidP="00FB202B">
      <w:pPr>
        <w:jc w:val="both"/>
        <w:rPr>
          <w:sz w:val="24"/>
          <w:szCs w:val="24"/>
          <w:lang w:val="en-US"/>
        </w:rPr>
      </w:pPr>
    </w:p>
    <w:p w:rsidR="009C3D61" w:rsidRPr="009C3D61" w:rsidRDefault="009C3D61" w:rsidP="009C3D61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9C3D61">
        <w:rPr>
          <w:b/>
          <w:sz w:val="24"/>
          <w:szCs w:val="24"/>
        </w:rPr>
        <w:t>Онлайн-семинар «Налоговые льготы и освобождения»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Семинар посвящен анализу предусмотренных налоговым законодательством льгот и освобождений для субъектов малого предпринимательства (в том числе с учетом положений законодательства Пермского края), применяющих упрощенную или патентную системы налогообложения.</w:t>
      </w:r>
    </w:p>
    <w:p w:rsidR="009C3D61" w:rsidRPr="009C3D61" w:rsidRDefault="009C3D61" w:rsidP="009C3D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Программа семинара: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Действующие на территории Пермского края пониженные ставки по упрощенной и патентной системам налогообложения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Порядок уменьшения стоимости патента на сумму оплаченных страховых взносов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Порядок применения пониженных тарифов страховых взносов субъектами малого предпринимательства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Бессрочное освобождение от применения кассовой техники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C76585" w:rsidRPr="009C3D61" w:rsidRDefault="009C3D61" w:rsidP="005126E6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Дата проведения: 18</w:t>
      </w:r>
      <w:r>
        <w:rPr>
          <w:sz w:val="24"/>
          <w:szCs w:val="24"/>
        </w:rPr>
        <w:t xml:space="preserve"> февраля 2020 года. Начало в 1</w:t>
      </w:r>
      <w:r w:rsidRPr="009C3D61">
        <w:rPr>
          <w:sz w:val="24"/>
          <w:szCs w:val="24"/>
        </w:rPr>
        <w:t xml:space="preserve">0.00. Участие бесплатное. Формат проведения – онлайн. Открыта регистрация по ссылке </w:t>
      </w:r>
      <w:hyperlink r:id="rId15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r w:rsidRPr="001A4D63">
          <w:rPr>
            <w:rStyle w:val="a3"/>
            <w:sz w:val="24"/>
            <w:szCs w:val="24"/>
            <w:lang w:val="en-US"/>
          </w:rPr>
          <w:t>msppk</w:t>
        </w:r>
        <w:r w:rsidRPr="001A4D63">
          <w:rPr>
            <w:rStyle w:val="a3"/>
            <w:sz w:val="24"/>
            <w:szCs w:val="24"/>
          </w:rPr>
          <w:t>.</w:t>
        </w:r>
        <w:r w:rsidRPr="001A4D63">
          <w:rPr>
            <w:rStyle w:val="a3"/>
            <w:sz w:val="24"/>
            <w:szCs w:val="24"/>
            <w:lang w:val="en-US"/>
          </w:rPr>
          <w:t>ru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nalogovye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lgoty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i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osvobozhdeniya</w:t>
        </w:r>
        <w:r w:rsidRPr="001A4D63">
          <w:rPr>
            <w:rStyle w:val="a3"/>
            <w:sz w:val="24"/>
            <w:szCs w:val="24"/>
          </w:rPr>
          <w:t>/</w:t>
        </w:r>
      </w:hyperlink>
    </w:p>
    <w:p w:rsidR="009C3D61" w:rsidRPr="009C3D61" w:rsidRDefault="009C3D61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9A4"/>
    <w:multiLevelType w:val="hybridMultilevel"/>
    <w:tmpl w:val="9A7E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6F51"/>
    <w:multiLevelType w:val="hybridMultilevel"/>
    <w:tmpl w:val="79B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64F"/>
    <w:multiLevelType w:val="hybridMultilevel"/>
    <w:tmpl w:val="155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FCF"/>
    <w:multiLevelType w:val="hybridMultilevel"/>
    <w:tmpl w:val="254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3C28"/>
    <w:multiLevelType w:val="hybridMultilevel"/>
    <w:tmpl w:val="9C0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A319B"/>
    <w:multiLevelType w:val="hybridMultilevel"/>
    <w:tmpl w:val="728CECFC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46922"/>
    <w:multiLevelType w:val="hybridMultilevel"/>
    <w:tmpl w:val="6A6E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3B6F"/>
    <w:multiLevelType w:val="hybridMultilevel"/>
    <w:tmpl w:val="69C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A6813"/>
    <w:multiLevelType w:val="hybridMultilevel"/>
    <w:tmpl w:val="DAC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12"/>
  </w:num>
  <w:num w:numId="5">
    <w:abstractNumId w:val="42"/>
  </w:num>
  <w:num w:numId="6">
    <w:abstractNumId w:val="4"/>
  </w:num>
  <w:num w:numId="7">
    <w:abstractNumId w:val="27"/>
  </w:num>
  <w:num w:numId="8">
    <w:abstractNumId w:val="6"/>
  </w:num>
  <w:num w:numId="9">
    <w:abstractNumId w:val="47"/>
  </w:num>
  <w:num w:numId="10">
    <w:abstractNumId w:val="2"/>
  </w:num>
  <w:num w:numId="11">
    <w:abstractNumId w:val="39"/>
  </w:num>
  <w:num w:numId="12">
    <w:abstractNumId w:val="24"/>
  </w:num>
  <w:num w:numId="13">
    <w:abstractNumId w:val="30"/>
  </w:num>
  <w:num w:numId="14">
    <w:abstractNumId w:val="21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32"/>
  </w:num>
  <w:num w:numId="21">
    <w:abstractNumId w:val="46"/>
  </w:num>
  <w:num w:numId="22">
    <w:abstractNumId w:val="40"/>
  </w:num>
  <w:num w:numId="23">
    <w:abstractNumId w:val="29"/>
  </w:num>
  <w:num w:numId="24">
    <w:abstractNumId w:val="20"/>
  </w:num>
  <w:num w:numId="25">
    <w:abstractNumId w:val="31"/>
  </w:num>
  <w:num w:numId="26">
    <w:abstractNumId w:val="16"/>
  </w:num>
  <w:num w:numId="27">
    <w:abstractNumId w:val="3"/>
  </w:num>
  <w:num w:numId="28">
    <w:abstractNumId w:val="25"/>
  </w:num>
  <w:num w:numId="29">
    <w:abstractNumId w:val="34"/>
  </w:num>
  <w:num w:numId="30">
    <w:abstractNumId w:val="41"/>
  </w:num>
  <w:num w:numId="31">
    <w:abstractNumId w:val="45"/>
  </w:num>
  <w:num w:numId="32">
    <w:abstractNumId w:val="43"/>
  </w:num>
  <w:num w:numId="33">
    <w:abstractNumId w:val="36"/>
  </w:num>
  <w:num w:numId="34">
    <w:abstractNumId w:val="8"/>
  </w:num>
  <w:num w:numId="35">
    <w:abstractNumId w:val="0"/>
  </w:num>
  <w:num w:numId="36">
    <w:abstractNumId w:val="13"/>
  </w:num>
  <w:num w:numId="37">
    <w:abstractNumId w:val="15"/>
  </w:num>
  <w:num w:numId="38">
    <w:abstractNumId w:val="44"/>
  </w:num>
  <w:num w:numId="39">
    <w:abstractNumId w:val="23"/>
  </w:num>
  <w:num w:numId="40">
    <w:abstractNumId w:val="37"/>
  </w:num>
  <w:num w:numId="41">
    <w:abstractNumId w:val="28"/>
  </w:num>
  <w:num w:numId="42">
    <w:abstractNumId w:val="48"/>
  </w:num>
  <w:num w:numId="43">
    <w:abstractNumId w:val="17"/>
  </w:num>
  <w:num w:numId="44">
    <w:abstractNumId w:val="7"/>
  </w:num>
  <w:num w:numId="45">
    <w:abstractNumId w:val="22"/>
  </w:num>
  <w:num w:numId="46">
    <w:abstractNumId w:val="38"/>
  </w:num>
  <w:num w:numId="47">
    <w:abstractNumId w:val="14"/>
  </w:num>
  <w:num w:numId="48">
    <w:abstractNumId w:val="33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2F7850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DB86-C49D-4CA6-919F-3D94888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odgotovka-godovoy-otchetnosti-oshibki-pri-primenenii-uproshchennoy-i-patentnoy-sistem-nalogooblozhe/" TargetMode="External"/><Relationship Id="rId13" Type="http://schemas.openxmlformats.org/officeDocument/2006/relationships/hyperlink" Target="https://msppk.ru/events/azbuka-predprinimatelya-fev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aktualnye-voprosy-nalogooblozheniya-v-2021-go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-ch/" TargetMode="External"/><Relationship Id="rId11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roektnoe-upravlenie/" TargetMode="External"/><Relationship Id="rId15" Type="http://schemas.openxmlformats.org/officeDocument/2006/relationships/hyperlink" Target="https://msppk.ru/events/nalogovye-lgoty-i-osvobozhdeniya/" TargetMode="External"/><Relationship Id="rId10" Type="http://schemas.openxmlformats.org/officeDocument/2006/relationships/hyperlink" Target="https://msppk.ru/events/kadastrovaya-stoimost-obektov-nedvizhimosti-v-permskom-krae-v-2021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effektivnoe-upravlenie-vremen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2</cp:revision>
  <dcterms:created xsi:type="dcterms:W3CDTF">2021-02-15T04:56:00Z</dcterms:created>
  <dcterms:modified xsi:type="dcterms:W3CDTF">2021-02-15T04:56:00Z</dcterms:modified>
</cp:coreProperties>
</file>