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781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УТВЕРЖДЕНО: 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781" w:hanging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постановлением председателя Думы Кудымкарского муниципального округа Пермского края от 13.01.2021 года № 2</w:t>
      </w:r>
    </w:p>
    <w:p>
      <w:pPr>
        <w:pStyle w:val="Normal"/>
        <w:widowControl w:val="false"/>
        <w:spacing w:lineRule="exact" w:line="240" w:before="12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Par131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ТИПОВОЙ ПЛАН</w:t>
      </w:r>
    </w:p>
    <w:p>
      <w:pPr>
        <w:pStyle w:val="Normal"/>
        <w:widowControl w:val="false"/>
        <w:spacing w:lineRule="exact" w:line="240" w:before="12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 противодействию коррупции в Думе Кудымкарского муниципального округа Пермского края на 2021-2023 годы</w:t>
      </w:r>
      <w:r>
        <w:rPr>
          <w:rStyle w:val="Style17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2"/>
      </w:r>
    </w:p>
    <w:tbl>
      <w:tblPr>
        <w:tblW w:w="1516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4253"/>
        <w:gridCol w:w="3118"/>
        <w:gridCol w:w="2693"/>
        <w:gridCol w:w="4537"/>
      </w:tblGrid>
      <w:tr>
        <w:trPr>
          <w:tblHeader w:val="true"/>
          <w:trHeight w:val="26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>
        <w:trPr>
          <w:tblHeader w:val="true"/>
          <w:trHeight w:val="26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80" w:leader="none"/>
                <w:tab w:val="center" w:pos="4542" w:leader="none"/>
              </w:tabs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должностное лицо кадровой службы ответственное за работу по профилактике коррупционных и иных правонарушений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(далее – кадровая служба)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  <w:bookmarkStart w:id="1" w:name="_GoBack"/>
            <w:bookmarkEnd w:id="1"/>
          </w:p>
        </w:tc>
      </w:tr>
      <w:tr>
        <w:trPr>
          <w:trHeight w:val="10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Думе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>
        <w:trPr>
          <w:trHeight w:val="14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</w:t>
            </w:r>
          </w:p>
        </w:tc>
      </w:tr>
      <w:tr>
        <w:trPr>
          <w:trHeight w:val="38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муниципальной должности в Думе (далее – муниципальные должности), должности муниципальной службы в Думе (далее – муниципальные служащие)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Размещение на официальном сайте Кудымкарского муниципального района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20 февраля 2022 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20 февраля 2023 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итоговый до 1 января 2024 г.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Ежеквартально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Проверка информации о фактах проявления коррупции в Думе,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Думой своих функций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Выявление коррупционно-опасных функций, актуализация перечня должностей муниципальной службы в Думе,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Актуализация сведений, содержащихся в анкетах, представляемых при назначении на должности муниципальной службы в Думе и поступлении на такую службу, об их родственниках и свойственниках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Постоянно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>Выявление случаев конфликта интересов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FF0000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>Систематизация сведений о гражданских и муниципальных служащих и аффилированных им лицах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Уполномоченное структурное подразделение ОМСУ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осуществлении закупок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Уполномоченное структурное подразделение ОМСУ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информированности и ответственности лиц, замещающих муниципальные должности, муниципальных служащих.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Снижение количества совершаемых коррупционных правонарушений среди служащих, участвующих в организации (осуществлении) закупок</w:t>
            </w:r>
          </w:p>
        </w:tc>
      </w:tr>
      <w:tr>
        <w:trPr>
          <w:trHeight w:val="4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>
        <w:trPr>
          <w:trHeight w:val="172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Кудымкарского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служба, подразделение, обеспечивающее доступ к информации о деятельности ОМСУ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Думе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Предупреждение и выявление случаев представления недостоверных 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антикоррупционных проверок, основанием для которых послужила информация, представленная подразделением кадровой службы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 инициированных процедур контроля за расходами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 выявленных нарушений, 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рассмотрение их на заседании Комиссии по соблюдению требований к служебному поведению муниципальных служащих (служащих замещающих муниципальные должности) и урегулированию конфликта интересов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несоблюдение лицом, замещающим муниципальную должность, муниципальными служащими установленного порядка сообщения о получении подарка;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несоблюдение лицом, замещающим муниципальную должность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лицом, замещающими муниципальную должность, муниципальными служащими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 за выполнением лицом, замещающими муниципальную должность, муниципальным) служащими требований о предотвращении или об урегулировании конфликта интересов, в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том числе проверка соблюдения указанных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квалификации гражданских (муниципальных) служащих, работников ПО.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Ежегодно (по мере необходимости)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единообразного подхода по реализации мер антикоррупционной политики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субъектами общественного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проводимых антикоррупционных мероприятиях и результатах указанных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2021-2023 гг.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эффективности деятельности ОМСУ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(корректировка) нормативных правовых актов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Кадровая служба, зав. сектором по юридическим вопросам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Совершенствование нормативно-правовой базы по противодействию коррупции Своевременное регулирование соответствующих правоотношений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Зав. сектором по юридическим вопросам аппарата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Пермского края, проходивших антикоррупционную экспертизу, -100 %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678" w:header="0" w:top="1418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spacing w:lineRule="exact" w:line="240" w:before="0" w:after="0"/>
        <w:ind w:right="-32" w:hanging="0"/>
        <w:jc w:val="both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 Типового плана рекомендуется учитывать при разработке Планов органов государственной власти Пермского края, органов местного самоуправления муниципальных образований Пермского края, подведомственных организаций с учетом положений законодательства о противодействии коррупции в отношении указанных субъектов и их компетенции.</w:t>
      </w:r>
      <w:r>
        <w:rPr/>
        <w:t xml:space="preserve"> </w:t>
      </w:r>
      <w:r>
        <w:rPr>
          <w:rFonts w:ascii="Times New Roman" w:hAnsi="Times New Roman"/>
        </w:rPr>
        <w:t>Мероприятия в отношении подведомственных организаций включаются в План исполнительного органа государственной власти Пермского края, органа местного самоуправления, осуществляющего координацию и регулирование деятельности организации.</w:t>
      </w:r>
    </w:p>
  </w:footnote>
  <w:footnote w:id="3">
    <w:p>
      <w:pPr>
        <w:pStyle w:val="Style30"/>
        <w:widowControl w:val="false"/>
        <w:spacing w:lineRule="exact" w:line="220" w:before="0" w:after="0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ascii="Times New Roman" w:hAnsi="Times New Roman"/>
        </w:rPr>
        <w:t>Конкретные сроки реализации мероприятия устанавливаются ОГВ, ОМСУ, ПО самостоятельно.</w:t>
      </w:r>
    </w:p>
  </w:footnote>
  <w:footnote w:id="4">
    <w:p>
      <w:pPr>
        <w:pStyle w:val="Style30"/>
        <w:widowControl w:val="false"/>
        <w:spacing w:before="0" w:after="160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Конкретные сроки реализации мероприятия устанавливаются ОГВ, ОМСУ, ПО самостоятельно.</w:t>
      </w:r>
    </w:p>
  </w:footnote>
  <w:footnote w:id="5">
    <w:p>
      <w:pPr>
        <w:pStyle w:val="Style30"/>
        <w:widowControl w:val="false"/>
        <w:spacing w:before="0" w:after="160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Конкретные сроки реализации мероприятия устанавливаются ОГВ, ОМСУ самостоятельно.</w:t>
      </w:r>
    </w:p>
  </w:footnote>
  <w:footnote w:id="6">
    <w:p>
      <w:pPr>
        <w:pStyle w:val="Style30"/>
        <w:widowControl w:val="false"/>
        <w:spacing w:lineRule="exact" w:line="240" w:before="0" w:after="0"/>
        <w:jc w:val="both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ascii="Times New Roman" w:hAnsi="Times New Roman"/>
        </w:rPr>
        <w:t>Контроль за расходами в отношении лиц, замещающих отдельные государственные должности Пермского края, лиц, замещающих муниципальные должности, муниципальных служащих, а также членов их семей возлагается на Администрацию губернатора Пермского края.</w:t>
      </w:r>
    </w:p>
  </w:footnote>
  <w:footnote w:id="7">
    <w:p>
      <w:pPr>
        <w:pStyle w:val="Style30"/>
        <w:widowControl w:val="false"/>
        <w:spacing w:before="0" w:after="160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Конкретные сроки реализации мероприятий устанавливаются ОГВ, ОМСУ, ПО самостоятельно.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71449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71449"/>
    <w:rPr>
      <w:rFonts w:ascii="Calibri" w:hAnsi="Calibri" w:eastAsia="Times New Roman" w:cs="Times New Roman"/>
    </w:rPr>
  </w:style>
  <w:style w:type="character" w:styleId="Style16" w:customStyle="1">
    <w:name w:val="Текст сноски Знак"/>
    <w:basedOn w:val="DefaultParagraphFont"/>
    <w:link w:val="a7"/>
    <w:uiPriority w:val="99"/>
    <w:qFormat/>
    <w:rsid w:val="00a71449"/>
    <w:rPr>
      <w:rFonts w:ascii="Calibri" w:hAnsi="Calibri" w:eastAsia="Times New Roman"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1449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ed4535"/>
    <w:rPr>
      <w:rFonts w:ascii="Tahoma" w:hAnsi="Tahoma" w:cs="Tahoma"/>
      <w:sz w:val="16"/>
      <w:szCs w:val="16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4"/>
    <w:uiPriority w:val="99"/>
    <w:unhideWhenUsed/>
    <w:rsid w:val="00a7144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</w:rPr>
  </w:style>
  <w:style w:type="paragraph" w:styleId="Style29">
    <w:name w:val="Footer"/>
    <w:basedOn w:val="Normal"/>
    <w:link w:val="a6"/>
    <w:uiPriority w:val="99"/>
    <w:unhideWhenUsed/>
    <w:rsid w:val="00a7144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</w:rPr>
  </w:style>
  <w:style w:type="paragraph" w:styleId="Style30">
    <w:name w:val="Footnote Text"/>
    <w:basedOn w:val="Normal"/>
    <w:link w:val="a8"/>
    <w:uiPriority w:val="99"/>
    <w:unhideWhenUsed/>
    <w:rsid w:val="00a71449"/>
    <w:pPr/>
    <w:rPr>
      <w:rFonts w:ascii="Calibri" w:hAnsi="Calibri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d17c46"/>
    <w:pPr>
      <w:widowControl w:val="false"/>
      <w:bidi w:val="0"/>
      <w:spacing w:lineRule="auto" w:line="240" w:before="0" w:after="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ed45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LibreOffice/7.1.0.3$Windows_X86_64 LibreOffice_project/f6099ecf3d29644b5008cc8f48f42f4a40986e4c</Application>
  <AppVersion>15.0000</AppVersion>
  <Pages>8</Pages>
  <Words>1835</Words>
  <Characters>14507</Characters>
  <CharactersWithSpaces>16168</CharactersWithSpaces>
  <Paragraphs>189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2018-11-24T08:48:00Z</dcterms:created>
  <dc:creator>Попов Максим Сергеевич</dc:creator>
  <dc:description/>
  <dc:language>ru-RU</dc:language>
  <cp:lastModifiedBy/>
  <cp:lastPrinted>2021-12-02T15:53:11Z</cp:lastPrinted>
  <dcterms:modified xsi:type="dcterms:W3CDTF">2021-12-02T15:53:43Z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