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.06.2021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89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Демино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Демино</w:t>
      </w:r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20-21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мая </w:t>
      </w:r>
      <w:r>
        <w:rPr>
          <w:rFonts w:cs="Times New Roman" w:ascii="Times New Roman" w:hAnsi="Times New Roman"/>
          <w:sz w:val="28"/>
          <w:szCs w:val="28"/>
        </w:rPr>
        <w:t>2021 года,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Зубова Егора Егоровича,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Демино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Зубову Егору Егоровичу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101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5055"/>
      </w:tblGrid>
      <w:tr>
        <w:trPr>
          <w:trHeight w:val="1695" w:hRule="atLeast"/>
        </w:trPr>
        <w:tc>
          <w:tcPr>
            <w:tcW w:w="50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LibreOffice/7.1.0.3$Windows_X86_64 LibreOffice_project/f6099ecf3d29644b5008cc8f48f42f4a40986e4c</Application>
  <AppVersion>15.0000</AppVersion>
  <Pages>1</Pages>
  <Words>192</Words>
  <Characters>1367</Characters>
  <CharactersWithSpaces>1543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2021-06-24T13:30:48Z</cp:lastPrinted>
  <dcterms:modified xsi:type="dcterms:W3CDTF">2021-06-24T13:30:53Z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