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A48C" w14:textId="0877E3CA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511B6088" w14:textId="77777777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 докладу главы муниципального района - главы администрации Кудымкарского муниципального района</w:t>
      </w:r>
    </w:p>
    <w:p w14:paraId="22531ACC" w14:textId="77777777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Климова Валерия Анатольевича</w:t>
      </w:r>
    </w:p>
    <w:p w14:paraId="6937D255" w14:textId="7A6A81D7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«О достигнутых значениях показателей для оценки эффективности деятельности органов местного самоуправления за 2017 год и планируемых значениях на 3-летний период»</w:t>
      </w:r>
    </w:p>
    <w:p w14:paraId="2B088C21" w14:textId="77777777" w:rsidR="005A3EC6" w:rsidRPr="006025C4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2167ED8" w14:textId="6DDE6DF6" w:rsidR="005A3EC6" w:rsidRPr="006025C4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 xml:space="preserve">I. Общие сведения о </w:t>
      </w:r>
      <w:r w:rsidR="00146F05">
        <w:rPr>
          <w:rFonts w:ascii="Times New Roman" w:hAnsi="Times New Roman" w:cs="Times New Roman"/>
          <w:b/>
          <w:sz w:val="24"/>
          <w:szCs w:val="24"/>
        </w:rPr>
        <w:t>Кудымкарском</w:t>
      </w:r>
      <w:r w:rsidRPr="006025C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14:paraId="5DBED9EA" w14:textId="01F4A97B" w:rsidR="005A3EC6" w:rsidRPr="005A3EC6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Кудымкарский район занимает площадь 4733 кв. км., протяженность района составляет с севера на юг — 105 км, с запада на восток - 110 км. С запада район граничит - с Кировской областью, на востоке с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Юсьвинским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районом Пермского края, на юго-востоке - с Карагайским и </w:t>
      </w:r>
      <w:bookmarkStart w:id="0" w:name="_GoBack"/>
      <w:bookmarkEnd w:id="0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северо-востоке с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Усольским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районами, на юге - с Сивинским и Карагайским районами, с севера — с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Юрлинским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Косинским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районами.</w:t>
      </w:r>
    </w:p>
    <w:p w14:paraId="334B1186" w14:textId="77777777" w:rsidR="005A3EC6" w:rsidRPr="006025C4" w:rsidRDefault="005A3EC6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территории Кудымкарского района расположены шесть сельских поселений: Белоевское, Верх-Иньвенское, Егвинское, Ленинское, Ошибское, Степановское, в которые входят </w:t>
      </w:r>
      <w:proofErr w:type="gram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276  населенных</w:t>
      </w:r>
      <w:proofErr w:type="gram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пунктов. Население Кудымкарского района на </w:t>
      </w:r>
      <w:r w:rsidRPr="005A3EC6">
        <w:rPr>
          <w:rFonts w:ascii="Times New Roman" w:eastAsia="Courier New" w:hAnsi="Times New Roman" w:cs="Times New Roman"/>
          <w:sz w:val="24"/>
          <w:szCs w:val="24"/>
          <w:lang w:eastAsia="ru-RU"/>
        </w:rPr>
        <w:t>01.01.2018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составляет – </w:t>
      </w:r>
      <w:r w:rsidRPr="005A3EC6">
        <w:rPr>
          <w:rFonts w:ascii="Times New Roman" w:eastAsia="Courier New" w:hAnsi="Times New Roman" w:cs="Times New Roman"/>
          <w:sz w:val="24"/>
          <w:szCs w:val="24"/>
          <w:lang w:eastAsia="ru-RU"/>
        </w:rPr>
        <w:t>22631</w:t>
      </w:r>
      <w:r w:rsidRPr="005A3EC6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чел. Административный центр района — г. Кудымкар.</w:t>
      </w:r>
    </w:p>
    <w:p w14:paraId="2D59FD58" w14:textId="61EBFDEC" w:rsidR="00B647A4" w:rsidRPr="006025C4" w:rsidRDefault="005A3EC6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>II. Аналитическая информация о достижении значений показателей</w:t>
      </w:r>
    </w:p>
    <w:p w14:paraId="0423080E" w14:textId="2FB1A5D8" w:rsidR="005A3EC6" w:rsidRPr="006025C4" w:rsidRDefault="005A3EC6" w:rsidP="006025C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14:paraId="4D340AD0" w14:textId="6FF36C20" w:rsidR="005A3EC6" w:rsidRPr="006025C4" w:rsidRDefault="005A3EC6" w:rsidP="006025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«Число субъектов малого и среднего предпринимательства в расчете на 10 тыс. населения»</w:t>
      </w:r>
    </w:p>
    <w:p w14:paraId="6888020E" w14:textId="05A1BC7C" w:rsidR="005A3EC6" w:rsidRPr="006025C4" w:rsidRDefault="005A3EC6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ru-RU"/>
        </w:rPr>
        <w:t>рассчитывается один раз в пять лет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ru-RU"/>
        </w:rPr>
        <w:t xml:space="preserve">на основании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итогов сплошного наблюдения за деятельностью субъектов малого и среднего предпринимательства (сплошное наблюдение проведено за 2015 год) и его значение составило 145,6. По данным Межрайонной ИФНС России № 1 по Пермскому краю число субъектов малого и среднего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предпринимательства  составило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в 2017 г. 385, из них: 326 – индивидуальные предприниматели, 59 – малые и средние предприятия.  </w:t>
      </w:r>
    </w:p>
    <w:p w14:paraId="7F40D7C4" w14:textId="5BE8C2C0" w:rsidR="005A3EC6" w:rsidRPr="006025C4" w:rsidRDefault="005A3EC6" w:rsidP="006025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14:paraId="3E54BF24" w14:textId="77777777" w:rsidR="005A3EC6" w:rsidRPr="006025C4" w:rsidRDefault="005A3EC6" w:rsidP="006025C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</w:t>
      </w:r>
      <w:r w:rsidRPr="006025C4">
        <w:rPr>
          <w:rFonts w:ascii="Times New Roman" w:hAnsi="Times New Roman" w:cs="Times New Roman"/>
          <w:sz w:val="24"/>
          <w:szCs w:val="24"/>
        </w:rPr>
        <w:tab/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2017 году показатель сохранился на уровне 2016 года и составил 16,9%. Формирование значения данного показателя указано по данным 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Пермьстата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0B842E59" w14:textId="169372A5" w:rsidR="005A3EC6" w:rsidRPr="006025C4" w:rsidRDefault="005A3EC6" w:rsidP="006025C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2018-2020 гг. планируется сохранение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значения  показателя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размере 16,9%.</w:t>
      </w:r>
    </w:p>
    <w:p w14:paraId="46E7A52A" w14:textId="77777777" w:rsidR="005A3EC6" w:rsidRPr="006025C4" w:rsidRDefault="005A3EC6" w:rsidP="006025C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действует подпрограмма «Развитие малого и среднего предпринимательства» муниципальной программы «Экономическое развитие Кудымкарского муниципального района», за 2017 год поддержку получили 1 субъект малого и среднего предпринимательства. На реализацию данной программы в бюджете района на 2018 год предусмотрено 600, 0 тыс. руб.</w:t>
      </w:r>
    </w:p>
    <w:p w14:paraId="7FE1FD2F" w14:textId="66372191" w:rsidR="005A3EC6" w:rsidRPr="006025C4" w:rsidRDefault="005A3EC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«Объем инвестиций в основной капитал (за исключением бюджетных средств) в расчете на 1 жителя»</w:t>
      </w:r>
    </w:p>
    <w:p w14:paraId="6C0F9482" w14:textId="48B8E696" w:rsidR="005A3EC6" w:rsidRPr="006025C4" w:rsidRDefault="005A3EC6" w:rsidP="00602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По объему инвестиций в основной капитал (за исключением бюджетных средств) в расчете на 1 жителя в 2017 году наблюдается увеличение по сравнению с 2016 годом. С</w:t>
      </w:r>
      <w:r w:rsidRPr="006025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привлечением внебюджетных источников финансирования в 2017 году введены в эксплуатацию следующие объекты: СДК на 200 мест в с. </w:t>
      </w:r>
      <w:proofErr w:type="spellStart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>Белоево</w:t>
      </w:r>
      <w:proofErr w:type="spellEnd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строительство фельдшерско-акушерского пункта в д. </w:t>
      </w:r>
      <w:proofErr w:type="spellStart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>Гурино</w:t>
      </w:r>
      <w:proofErr w:type="spellEnd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Среди сельхозпредприятий в 2017 году построен и введен в эксплуатацию сушильно-сортировочный комплекс в д. </w:t>
      </w:r>
      <w:proofErr w:type="spellStart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>М.Серва</w:t>
      </w:r>
      <w:proofErr w:type="spellEnd"/>
      <w:r w:rsidRPr="0060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60 т.</w:t>
      </w:r>
    </w:p>
    <w:p w14:paraId="7872D30B" w14:textId="681742EE" w:rsidR="005A3EC6" w:rsidRPr="006025C4" w:rsidRDefault="005A3EC6" w:rsidP="00602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2018-2020 гг. инвестиционная активность сохранится на уровне 2017 г.</w:t>
      </w:r>
    </w:p>
    <w:p w14:paraId="72279FF8" w14:textId="1944E549" w:rsidR="005A3EC6" w:rsidRPr="006025C4" w:rsidRDefault="005A3EC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</w:t>
      </w:r>
    </w:p>
    <w:p w14:paraId="0B15F170" w14:textId="77777777" w:rsidR="00970C06" w:rsidRPr="006025C4" w:rsidRDefault="005A3EC6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Значение  показателя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2017 году сохранилось на уровне 2016 года. На плановый период запланировано увеличение доли показателя в связи с оформлением прав собственности владельцами объектов капитального строительства, расположенных на таких земельных участках, выкупом арендуемых земельных участков в собственность и продажей земельных участков в аренду и собственность на торгах.</w:t>
      </w:r>
    </w:p>
    <w:p w14:paraId="7A9F5E02" w14:textId="0029C100" w:rsidR="005A3EC6" w:rsidRPr="006025C4" w:rsidRDefault="00970C06" w:rsidP="00602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прибыльных сельскохозяйственных организаций, в общем их числе»</w:t>
      </w:r>
    </w:p>
    <w:p w14:paraId="0BC04F67" w14:textId="77777777" w:rsidR="00970C06" w:rsidRPr="006025C4" w:rsidRDefault="00970C06" w:rsidP="0060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Показатель за 2017 г. изменился по сравнению с 2016 годом и составил 50%. Из 6 сельскохозяйственных организаций в районе за 2017 </w:t>
      </w:r>
      <w:proofErr w:type="gramStart"/>
      <w:r w:rsidRPr="006025C4">
        <w:rPr>
          <w:rFonts w:ascii="Times New Roman" w:hAnsi="Times New Roman" w:cs="Times New Roman"/>
          <w:sz w:val="24"/>
          <w:szCs w:val="24"/>
        </w:rPr>
        <w:t>год  прибыльных</w:t>
      </w:r>
      <w:proofErr w:type="gramEnd"/>
      <w:r w:rsidRPr="006025C4">
        <w:rPr>
          <w:rFonts w:ascii="Times New Roman" w:hAnsi="Times New Roman" w:cs="Times New Roman"/>
          <w:sz w:val="24"/>
          <w:szCs w:val="24"/>
        </w:rPr>
        <w:t xml:space="preserve"> 3:  СХПК «Россия», ООО «Парма», СПК «Колхоз им. Кирова». В связи с тяжелым финансовым состоянием получен убыток ООО «Урал», СПК «Кудымкарский», ООО «Исток». В 2016 году сельскохозяйственных организаций было 7. На 01.01.2018 года из списка сельскохозяйственных организаций исключен СПК «Кувинский».</w:t>
      </w:r>
    </w:p>
    <w:p w14:paraId="715C0770" w14:textId="5957C9B9" w:rsidR="005A3EC6" w:rsidRPr="006025C4" w:rsidRDefault="00970C0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</w:r>
    </w:p>
    <w:p w14:paraId="17E29547" w14:textId="06E9EA67" w:rsidR="00970C06" w:rsidRPr="006025C4" w:rsidRDefault="00970C06" w:rsidP="0060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Показатель увеличился в связи с тем, что в 2017 году в двух поселениях района проводилась паспортизация (инвентаризация) автомобильных дорог местного значения. По предоставленным отчетам </w:t>
      </w:r>
      <w:r w:rsidR="006E40CD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Росстат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изменилась общая протяженность</w:t>
      </w:r>
      <w:r w:rsidRPr="0060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и составила 1066 км. Протяженность дорог, не отвечающих нормативным требованиям – 639,5 км.</w:t>
      </w:r>
    </w:p>
    <w:p w14:paraId="7DC023D7" w14:textId="32C4AAA7" w:rsidR="00970C06" w:rsidRPr="006025C4" w:rsidRDefault="006E40CD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3DD388CF" w14:textId="426E6ED7" w:rsidR="006E40CD" w:rsidRPr="006025C4" w:rsidRDefault="006E40CD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Уменьшение показателя обусловлено снижением численности населения в труднодоступных населенных пунктах и общей численности населения. По </w:t>
      </w:r>
      <w:proofErr w:type="spell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похозйяственному</w:t>
      </w:r>
      <w:proofErr w:type="spell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учету численность населения в населенных пунктах, не имеющих автобусного сообщения – 1210 чел., среднегодовая численность населения по </w:t>
      </w:r>
      <w:proofErr w:type="spell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похозяйственному</w:t>
      </w:r>
      <w:proofErr w:type="spell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учету – 28571 чел.</w:t>
      </w:r>
    </w:p>
    <w:p w14:paraId="35E140CD" w14:textId="77777777" w:rsidR="006E40CD" w:rsidRPr="006025C4" w:rsidRDefault="006E40CD" w:rsidP="0060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На плановый период показатель уменьшается в связи с сокращением численности населения.</w:t>
      </w:r>
    </w:p>
    <w:p w14:paraId="20437902" w14:textId="6DC83044" w:rsidR="006E40CD" w:rsidRPr="006025C4" w:rsidRDefault="006E40CD" w:rsidP="00602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«Среднемесячная номинальная начисленная заработная плата работников</w:t>
      </w:r>
      <w:r w:rsidRPr="006025C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F5B62B9" w14:textId="77777777" w:rsidR="006E40CD" w:rsidRPr="006025C4" w:rsidRDefault="006E40CD" w:rsidP="006025C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 отчетный период по всем указанным категориям работников наблюдается увеличение заработной платы, так как реализуются мероприятия, направленные на обеспечение доведения в 2017 году средней заработной платы согласно Указам Президента Российской Федерации от 07.05.2012. № 597 «О мерах по реализации государственной социальной политики», от 01.06.2012 № 761 «О Национальной стратегии действий в интересах детей на 2012-2017 годы». </w:t>
      </w:r>
    </w:p>
    <w:p w14:paraId="3F97B459" w14:textId="33FF58FB" w:rsidR="006E40CD" w:rsidRPr="006025C4" w:rsidRDefault="006E40CD" w:rsidP="006025C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На плановый период 2018-2020 гг. рост средней заработной платы будет продолжаться в соответствии с законодательством Российской Федерации и Пермского края. Между Министерствами Пермского края и Администрацией Кудымкарского района будет дальнейшее заключение соглашений.</w:t>
      </w:r>
    </w:p>
    <w:p w14:paraId="66056308" w14:textId="2DD344C5" w:rsidR="006E40CD" w:rsidRPr="006025C4" w:rsidRDefault="006E40CD" w:rsidP="006025C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14:paraId="74157525" w14:textId="22C8B816" w:rsidR="00970C06" w:rsidRPr="006025C4" w:rsidRDefault="006E40CD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</w:t>
      </w:r>
    </w:p>
    <w:p w14:paraId="094AD839" w14:textId="135B44AD" w:rsidR="006E40CD" w:rsidRPr="006025C4" w:rsidRDefault="006E40CD" w:rsidP="0060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Доля детей, получающих дошкольную образовательную услугу и (или) услугу по содержанию в муниципальных образовательных учреждениях, имеет тенденцию к уменьшению </w:t>
      </w:r>
      <w:r w:rsidRPr="00602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 счёт закрытия здания ясельной группы детского сада в с. Пешнигорт на 55 мест в связи с несоответствием требованиям </w:t>
      </w:r>
      <w:proofErr w:type="spellStart"/>
      <w:r w:rsidRPr="00602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СаНПиН</w:t>
      </w:r>
      <w:proofErr w:type="spellEnd"/>
      <w:r w:rsidRPr="00602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ОГПН, сократилась численность детей в детских садах в с. Полва, с. Кува, с. Ошиб.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DC52F8" w14:textId="77617E6E" w:rsidR="006E40CD" w:rsidRPr="006025C4" w:rsidRDefault="006E40CD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лет»</w:t>
      </w:r>
    </w:p>
    <w:p w14:paraId="723C3486" w14:textId="53212C67" w:rsidR="006E40CD" w:rsidRPr="006025C4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детей, стоящих в очереди, уменьшилась в сравнении с 2016 годом за счёт создания дополнительных мест. На учете состоит 63 чел., общая численность детей в возрасте от 1-6 лет по данным Росстата – 2641 чел.</w:t>
      </w:r>
    </w:p>
    <w:p w14:paraId="3AB144CF" w14:textId="3DA9876D" w:rsidR="00A22876" w:rsidRPr="006025C4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Созданы дополнительные места за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счет  перепланировки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помещений: в структурном подразделении МАОУ «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Сервинская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ООШ»  «Детский сад д. М. Серва»- 18 мест, в структурном подразделении МАОУ «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Гуринская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СОШ»  «Детский сад д. Гурина» - 10 мест, в структурном подразделении МАОУ «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Егвинская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ООШ»  «Детский сад с. 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Егва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 - 7 мест.</w:t>
      </w:r>
    </w:p>
    <w:p w14:paraId="3BB19B47" w14:textId="5953582B" w:rsidR="006E40CD" w:rsidRPr="006025C4" w:rsidRDefault="00A2287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</w:p>
    <w:p w14:paraId="6D6A5763" w14:textId="5D3F4191" w:rsidR="00A22876" w:rsidRPr="006025C4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Аварийных зданий ДОУ нет, т.к. своевременно проводится текущий и капитальный ремонт.</w:t>
      </w:r>
    </w:p>
    <w:p w14:paraId="34E3EA89" w14:textId="21FBE4BC" w:rsidR="00A22876" w:rsidRPr="006025C4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Общее и дополнительное образование</w:t>
      </w:r>
    </w:p>
    <w:p w14:paraId="5782C2FB" w14:textId="795AFF0D" w:rsidR="00A22876" w:rsidRPr="006025C4" w:rsidRDefault="00A22876" w:rsidP="006025C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выпускников муниципальных общеобразовательных учреждений, не получивших аттестат о среднем (полном) образовании»</w:t>
      </w:r>
    </w:p>
    <w:p w14:paraId="32F77E19" w14:textId="6A7D1945" w:rsidR="00A22876" w:rsidRPr="006025C4" w:rsidRDefault="00A22876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выпускников  в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организациях КМР в 2016 -2017 учебном году составила 67 чел. Из них 1 выпускник не получил аттестат о среднем (полном) образовании.</w:t>
      </w:r>
    </w:p>
    <w:p w14:paraId="12DEB5B3" w14:textId="04ED4F99" w:rsidR="00A22876" w:rsidRPr="006025C4" w:rsidRDefault="00A22876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Для исключения случаев не сдачи ЕГЭ по основным предметам составляются планы подготовки выпускников 11 классов по сдаче ЕГЭ. Школы работают по индивидуальным учебным планам. Подготовка выпускников ведется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материалам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опубликованным на официальных сайтах. Обучающиеся знакомятся с рекомендациями по проведению ЕГЭ. Педагоги ежегодно проходят курсы повышения квалификации для подготовки детей к ЕГЭ. Проводится профориентационная работа среди выпускников.</w:t>
      </w:r>
    </w:p>
    <w:p w14:paraId="2DBF7EC3" w14:textId="77777777" w:rsidR="00A22876" w:rsidRPr="006025C4" w:rsidRDefault="005A3EC6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 </w:t>
      </w:r>
      <w:r w:rsidR="00A22876" w:rsidRPr="006025C4">
        <w:rPr>
          <w:rFonts w:ascii="Times New Roman" w:hAnsi="Times New Roman" w:cs="Times New Roman"/>
          <w:sz w:val="24"/>
          <w:szCs w:val="24"/>
        </w:rPr>
        <w:t>«</w:t>
      </w:r>
      <w:r w:rsidR="00A22876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</w:t>
      </w:r>
    </w:p>
    <w:p w14:paraId="792307CB" w14:textId="310F29B3" w:rsidR="00A22876" w:rsidRPr="006025C4" w:rsidRDefault="00A22876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 школы соответствуют современным требованиям. Образовательные учреждения активно внедряют ФГОС. Все школы соответствуют современным требованиям. Имеются интерактивные доски, кабинеты оснащены автоматизированными местами. Внедряются новые технологии в учебный процесс.</w:t>
      </w:r>
    </w:p>
    <w:p w14:paraId="2900ED86" w14:textId="301E611C" w:rsidR="005A3EC6" w:rsidRPr="006025C4" w:rsidRDefault="005A3EC6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  </w:t>
      </w:r>
      <w:r w:rsidR="00A22876" w:rsidRPr="006025C4">
        <w:rPr>
          <w:rFonts w:ascii="Times New Roman" w:hAnsi="Times New Roman" w:cs="Times New Roman"/>
          <w:sz w:val="24"/>
          <w:szCs w:val="24"/>
        </w:rPr>
        <w:t>«</w:t>
      </w:r>
      <w:r w:rsidR="00A22876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</w:p>
    <w:p w14:paraId="10D1B9DA" w14:textId="4AF2DF19" w:rsidR="00A22876" w:rsidRPr="006025C4" w:rsidRDefault="00A22876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ФГОС в образовательных организациях обновляется материально-техническая база. Ежегодно проводятся текущие ремонты зданий. Все муниципальные общеобразовательные учреждения соответствуют современным требованиям</w:t>
      </w:r>
    </w:p>
    <w:p w14:paraId="36E2A3C6" w14:textId="7BD10362" w:rsidR="005A3EC6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="00A22876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детей первой и второй групп здоровья в общей численности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876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 в муниципальных общеобразовательных учреждениях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14:paraId="454EA42F" w14:textId="7E13DBC0" w:rsidR="00994362" w:rsidRPr="006025C4" w:rsidRDefault="00994362" w:rsidP="006025C4">
      <w:pPr>
        <w:spacing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По результатам профилактических медицинских осмотров в 2017 году из 2822 человек выявлено 214 детей первой группы здоровья и 2329 человек- второй группы здоровья. Доля детей первой и второй группы здоровья в общей численности обучающихся в муниципальных общеобразовательных организациях КМР в 2017 году увеличилась по отношению к 2016 г. на 3,7% и составила 90,1%. Рост доли указанных категорий детей является результатом того, что:</w:t>
      </w:r>
    </w:p>
    <w:p w14:paraId="74FD7C48" w14:textId="77777777" w:rsidR="00994362" w:rsidRPr="00994362" w:rsidRDefault="00994362" w:rsidP="006025C4">
      <w:pPr>
        <w:widowControl w:val="0"/>
        <w:spacing w:after="0" w:line="240" w:lineRule="auto"/>
        <w:ind w:left="36" w:firstLine="67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94362">
        <w:rPr>
          <w:rFonts w:ascii="Times New Roman" w:eastAsia="Courier New" w:hAnsi="Times New Roman" w:cs="Times New Roman"/>
          <w:sz w:val="24"/>
          <w:szCs w:val="24"/>
          <w:lang w:eastAsia="ru-RU"/>
        </w:rPr>
        <w:t>1.  возросла численность детей, посещающих секции и кружки спортивной направленности;</w:t>
      </w:r>
    </w:p>
    <w:p w14:paraId="1C7BC4EF" w14:textId="3B95D4DC" w:rsidR="00994362" w:rsidRPr="006025C4" w:rsidRDefault="00994362" w:rsidP="00602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2.  развивается кадетское движение, военно-спортивное направление, которые способствуют здоровому образу жизни.</w:t>
      </w:r>
    </w:p>
    <w:p w14:paraId="25CC0C56" w14:textId="59F00E64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76BEB07E" w14:textId="4F5F1E8A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Состояние зданий ОО позволяет организовать обучение в одну смену</w:t>
      </w:r>
    </w:p>
    <w:p w14:paraId="023C9451" w14:textId="627EFF30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«Расходы бюджета муниципального образования на общее образование в расчете на 1 обучающегося в муниципальных общеобразовательных учреждениях»</w:t>
      </w:r>
    </w:p>
    <w:p w14:paraId="3D10C248" w14:textId="52549547" w:rsidR="00994362" w:rsidRPr="006025C4" w:rsidRDefault="00994362" w:rsidP="006025C4">
      <w:pPr>
        <w:spacing w:after="0" w:line="240" w:lineRule="auto"/>
        <w:ind w:right="96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образовательных </w:t>
      </w:r>
      <w:proofErr w:type="gram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организациях  КМР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составили 94,18 тыс. руб. В сравнении с 2016 годом произошел рост расходов на 6,1%, в связи с тем, что в отчетном </w:t>
      </w:r>
      <w:proofErr w:type="gram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году  по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отношению к предыдущему увеличились расходы на обеспечение деятельности образовательных организаций   с 57412,6 тыс. руб. до 63717,4 тыс. руб. (дополнительные средства выделены на оплату труда, на проведение основных медицинских осмотров, на оценку аттестации рабочих мест)</w:t>
      </w:r>
    </w:p>
    <w:p w14:paraId="2F31C730" w14:textId="31D002B1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«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</w:p>
    <w:p w14:paraId="14041CD7" w14:textId="26E40E70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</w:r>
      <w:proofErr w:type="gram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группы  в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2017 составила 69%. Снижение показателя по отношению к 2016 году составило 16,3% в связи с тем, что </w:t>
      </w:r>
      <w:proofErr w:type="gram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в  отчетном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был введен персонифицированный учет детей, получающих услуги по дополнительному образованию. В 2016 году учет данной категории детей осуществлялся по количеству посещаемых кружков.</w:t>
      </w:r>
    </w:p>
    <w:p w14:paraId="160A9996" w14:textId="0A8DF004" w:rsidR="00994362" w:rsidRPr="006025C4" w:rsidRDefault="00994362" w:rsidP="006025C4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99436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Ведется разработка и апробация нормативных и организационно- экономических механизмов системы персонифицированного финансирования дополнительного образования в </w:t>
      </w:r>
      <w:proofErr w:type="gramStart"/>
      <w:r w:rsidRPr="0099436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КМР </w:t>
      </w: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Планируется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открытие Центра дополнительного образования детей на базе МАУ «Кувинский загородный лагерь» с целью развития дополнительных общеразвивающих программ технической направленности с долей охвата детей от 12% в 2018 году до 18% к 2020 году.</w:t>
      </w:r>
    </w:p>
    <w:p w14:paraId="023D9150" w14:textId="19AA3005" w:rsidR="00994362" w:rsidRPr="006025C4" w:rsidRDefault="00994362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Культура</w:t>
      </w:r>
    </w:p>
    <w:p w14:paraId="211525AE" w14:textId="24919236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</w:t>
      </w:r>
    </w:p>
    <w:p w14:paraId="7FA2E68C" w14:textId="28C77783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Полная обеспеченность учреждениями клубного типа, библиотеками в соответствии с нормативами. Парков культуры и отдыха нет. На планируемый период 2018-2020 г.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показатель будет уменьшаться в связи с проведением оптимизации сети учреждений культуры</w:t>
      </w:r>
    </w:p>
    <w:p w14:paraId="0C622B87" w14:textId="30377FAA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5C295C25" w14:textId="4A594D53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Times New Roman" w:hAnsi="Times New Roman" w:cs="Times New Roman"/>
          <w:sz w:val="24"/>
          <w:szCs w:val="24"/>
        </w:rPr>
        <w:t xml:space="preserve">Здания 8 учреждений культуры из 68 требуют капитального ремонта. В аварийном состоянии 3 здания. Данный показатель сократился, в связи с вводом в 2017 году нового здания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Белоевского СКДЦ. В прогнозном периоде на 2018-2020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годы  показатель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остаётся неизменным.</w:t>
      </w:r>
    </w:p>
    <w:p w14:paraId="04BACD4F" w14:textId="6E480A58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5CC1CAD4" w14:textId="56094567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районе – 3 объекта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культурного  наследия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, находящихся в муниципальной собственности, которые не требуют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консервации или реставрации.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прогнозном периоде на 2018-2020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годы  показатель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остаётся неизменным.</w:t>
      </w:r>
    </w:p>
    <w:p w14:paraId="3CB85CCE" w14:textId="2EC0DF00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Физическая культура и спорт</w:t>
      </w:r>
    </w:p>
    <w:p w14:paraId="10101929" w14:textId="1C2B33D7" w:rsidR="00994362" w:rsidRPr="006025C4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«Доля населения, систематически занимающегося физической культурой и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спортом»</w:t>
      </w:r>
    </w:p>
    <w:p w14:paraId="4A86107A" w14:textId="61891A6E" w:rsidR="00994362" w:rsidRPr="006025C4" w:rsidRDefault="00994362" w:rsidP="006025C4">
      <w:pPr>
        <w:spacing w:after="0" w:line="240" w:lineRule="auto"/>
        <w:ind w:right="136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Наблюдается уменьшение показателя. На данный показатель повлияло:</w:t>
      </w:r>
    </w:p>
    <w:p w14:paraId="1432FCE1" w14:textId="77777777" w:rsidR="00994362" w:rsidRPr="00994362" w:rsidRDefault="00994362" w:rsidP="006025C4">
      <w:pPr>
        <w:widowControl w:val="0"/>
        <w:spacing w:after="0" w:line="240" w:lineRule="auto"/>
        <w:ind w:right="134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94362">
        <w:rPr>
          <w:rFonts w:ascii="Times New Roman" w:eastAsia="Courier New" w:hAnsi="Times New Roman" w:cs="Times New Roman"/>
          <w:color w:val="000000"/>
          <w:sz w:val="24"/>
          <w:szCs w:val="24"/>
        </w:rPr>
        <w:t>- прекращение работы по программе «Школьный спортивный клуб»;</w:t>
      </w:r>
    </w:p>
    <w:p w14:paraId="4070792D" w14:textId="4D27767C" w:rsidR="00994362" w:rsidRPr="006025C4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- строительство малобюджетных площадок в поселениях Кудымкарского муниципального района не было произведено из- за погодных условий</w:t>
      </w:r>
      <w:r w:rsidR="00240CD2"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14:paraId="636B8B14" w14:textId="47C2C6C5" w:rsidR="00240CD2" w:rsidRPr="00240CD2" w:rsidRDefault="00240CD2" w:rsidP="006025C4">
      <w:pPr>
        <w:widowControl w:val="0"/>
        <w:spacing w:after="0" w:line="240" w:lineRule="auto"/>
        <w:ind w:right="13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В 2018 году о</w:t>
      </w:r>
      <w:r w:rsidRPr="00240CD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ткрытие объектов спорта (с. Ленинск, с. В- Иньва) позволит привлекать большее количество населения к занятиям физкультурой и спортом. </w:t>
      </w:r>
    </w:p>
    <w:p w14:paraId="7DF96383" w14:textId="1B76B44C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hAnsi="Times New Roman" w:cs="Times New Roman"/>
          <w:sz w:val="24"/>
          <w:szCs w:val="24"/>
        </w:rPr>
        <w:t>23 (1). «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обучающихся, систематически занимающихся физической культурой и спортом, в общей численности обучающихся»</w:t>
      </w:r>
    </w:p>
    <w:p w14:paraId="33EF79BD" w14:textId="540F8813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Показатель</w:t>
      </w:r>
      <w:r w:rsidRPr="006025C4">
        <w:rPr>
          <w:rFonts w:ascii="Times New Roman" w:eastAsia="Courier New" w:hAnsi="Times New Roman" w:cs="Times New Roman"/>
          <w:sz w:val="24"/>
          <w:szCs w:val="24"/>
        </w:rPr>
        <w:t xml:space="preserve"> по сравнению с 2016 годом сократился, так как прекратил работу краевой проект «Школьный спортивный клуб» в связи с отсутствием краевого финансирования.</w:t>
      </w:r>
    </w:p>
    <w:p w14:paraId="72E42382" w14:textId="192DB56B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sz w:val="24"/>
          <w:szCs w:val="24"/>
        </w:rPr>
        <w:t xml:space="preserve">Для увеличения показателя в районе продолжится проведение информационной работы, </w:t>
      </w:r>
      <w:proofErr w:type="gramStart"/>
      <w:r w:rsidRPr="006025C4">
        <w:rPr>
          <w:rFonts w:ascii="Times New Roman" w:eastAsia="Courier New" w:hAnsi="Times New Roman" w:cs="Times New Roman"/>
          <w:sz w:val="24"/>
          <w:szCs w:val="24"/>
        </w:rPr>
        <w:t>системы мероприятий</w:t>
      </w:r>
      <w:proofErr w:type="gramEnd"/>
      <w:r w:rsidRPr="006025C4">
        <w:rPr>
          <w:rFonts w:ascii="Times New Roman" w:eastAsia="Courier New" w:hAnsi="Times New Roman" w:cs="Times New Roman"/>
          <w:sz w:val="24"/>
          <w:szCs w:val="24"/>
        </w:rPr>
        <w:t xml:space="preserve"> направленных на популяризацию спорта, здорового образа жизни.</w:t>
      </w:r>
    </w:p>
    <w:p w14:paraId="124E70CE" w14:textId="664A539E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Жилищное строительство и обеспечение граждан жильем</w:t>
      </w:r>
    </w:p>
    <w:p w14:paraId="4EA6D7D2" w14:textId="7A87BF41" w:rsidR="00240CD2" w:rsidRPr="006025C4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«Общая площадь жилых помещений, приходящаяся в среднем на одного жителя, - всего в т.ч. введенная в действие за один год»</w:t>
      </w:r>
    </w:p>
    <w:p w14:paraId="44C11786" w14:textId="75F9FA38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жилых помещений, приходящаяся </w:t>
      </w:r>
      <w:proofErr w:type="gramStart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жителя</w:t>
      </w:r>
      <w:proofErr w:type="gramEnd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и составляет 21,6 </w:t>
      </w:r>
      <w:proofErr w:type="spellStart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 введенная за год </w:t>
      </w:r>
      <w:r w:rsidRPr="0060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0,345 </w:t>
      </w:r>
      <w:proofErr w:type="spellStart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На конец 2017 года общая площадь жилых помещений составила 488,02 </w:t>
      </w:r>
      <w:proofErr w:type="spellStart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тыс.кв.м</w:t>
      </w:r>
      <w:proofErr w:type="spellEnd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2017 год введено </w:t>
      </w:r>
      <w:r w:rsidRPr="0060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7871 </w:t>
      </w:r>
      <w:proofErr w:type="spellStart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жилья, что значительно превышает плановый показатель.</w:t>
      </w:r>
    </w:p>
    <w:p w14:paraId="120135CD" w14:textId="5379ABE6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прогнозном периоде показатель рассчитан в соответствии с Соглашением о взаимодействии Правительства Пермского края и муниципальным образованием «Кудымкарский муниципальный район» на 2017-2018 годы планируется: 2018 г.- 7000 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00EE725C" w14:textId="60664661" w:rsidR="00994362" w:rsidRPr="006025C4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«Площадь земельных участков, предоставленных для строительства в расчете на 10 тыс. человек населения, - всего: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</w:t>
      </w:r>
    </w:p>
    <w:p w14:paraId="69110414" w14:textId="77777777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2017 году наблюдается снижение показателя   ввиду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уменьшения  площади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свободных земель, уменьшение  площади предоставленных земельных участков. Предоставлено в 2017 году 19,8 га, в т.ч. 18 га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14:paraId="4EAA4FC1" w14:textId="7A680A99" w:rsidR="00240CD2" w:rsidRPr="006025C4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14:paraId="76C28DEE" w14:textId="77777777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объектов жилищного строительства - в течении 3 лет</w:t>
      </w:r>
    </w:p>
    <w:p w14:paraId="3DE4C574" w14:textId="2708B398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иных объектов капитального строительства - в течение 5 лет»</w:t>
      </w:r>
    </w:p>
    <w:p w14:paraId="3E5FF84A" w14:textId="41964F4D" w:rsidR="00994362" w:rsidRPr="006025C4" w:rsidRDefault="00240CD2" w:rsidP="006025C4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</w:p>
    <w:p w14:paraId="3E6D09ED" w14:textId="4519CC05" w:rsidR="00240CD2" w:rsidRPr="006025C4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многоквартирных домов, в которых собственники помещений выбрали и реализуют один из способов управления многоквартирными домами»</w:t>
      </w:r>
    </w:p>
    <w:p w14:paraId="669E50C3" w14:textId="77777777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В 2017 году жильцы 3 многоквартирных домов передали управление многоквартирным домом управляющей компании МКУ «Сервисный центр Белоевского сельского поселения».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2018-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2020  годы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доля многоквартирных домов, которые выбрали и реализуют один из способов управления многоквартирными домами, не изменится.</w:t>
      </w:r>
    </w:p>
    <w:p w14:paraId="7D84DA9B" w14:textId="08AD6D6A" w:rsidR="00240CD2" w:rsidRPr="006025C4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</w:t>
      </w:r>
    </w:p>
    <w:p w14:paraId="004B1FC7" w14:textId="326E6DD4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kern w:val="24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kern w:val="24"/>
          <w:sz w:val="24"/>
          <w:szCs w:val="24"/>
          <w:lang w:eastAsia="ru-RU"/>
        </w:rPr>
        <w:t>Общее количество организаций коммунального комплекса на территории района равно 7. 1 организация, осуществляющая производство услуг коммунального комплекса, участие муниципального района в уставном капитале которой составляет не более 25%.</w:t>
      </w:r>
    </w:p>
    <w:p w14:paraId="358278A1" w14:textId="77777777" w:rsidR="00240CD2" w:rsidRPr="006025C4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На планируемый период 2018-2020 годы количество организаций с долей участия субъекта РФ и (или) муниципального района в уставном капитале более 25% изменится, в связи с закрытием организации в 2018 году.</w:t>
      </w:r>
    </w:p>
    <w:p w14:paraId="711AA423" w14:textId="29CA613D" w:rsidR="00240CD2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="00240CD2"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14:paraId="5401257E" w14:textId="5E0BD7CE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незначительно  увеличивается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2017 году, составил 93%. Администрации сельских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поселений  района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принимают меры по  постановке  на  кадастрового учет земельных участков под  многоквартирными  домами</w:t>
      </w:r>
    </w:p>
    <w:p w14:paraId="5EBD7868" w14:textId="5E2BD8CA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5E88D988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2017 году 156 чел. (за 2016 год – 255 чел.) улучшили жилищные условия по федеральным, региональным и муниципальным программам, в том числе: </w:t>
      </w:r>
    </w:p>
    <w:p w14:paraId="13CBB2B0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молодая семья – 8 семей; </w:t>
      </w:r>
    </w:p>
    <w:p w14:paraId="040E53EE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граждане, молодые семьи и молодые специалисты, проживающие в сельской местности – 37 семьи; </w:t>
      </w:r>
    </w:p>
    <w:p w14:paraId="577BAF5A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выехавшие из районов Крайнего Севера – 1 семья; </w:t>
      </w:r>
    </w:p>
    <w:p w14:paraId="6FC8874A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инвалиды и семьи, имеющие детей-инвалидов – 2 семьи; </w:t>
      </w:r>
    </w:p>
    <w:p w14:paraId="0DF5E793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реабилитированные лица – 5 семьи;</w:t>
      </w:r>
    </w:p>
    <w:p w14:paraId="2ED0EC2A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граждане, подвергшиеся радиации – 1 семья; </w:t>
      </w:r>
    </w:p>
    <w:p w14:paraId="5B24A0A2" w14:textId="77777777" w:rsidR="004B1A51" w:rsidRPr="006025C4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переселение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ветхого и аварийное жилья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4 семьи; по договору социального найма – 2 семьи. </w:t>
      </w:r>
    </w:p>
    <w:p w14:paraId="1CDA798B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Численность граждан, состоящих на учете нуждающихся в улучшении жилищных условий, по состоянию на 01.01.2018 г. составила 4543 человека (01.01.2017 г. – 4562 человека). По сравнению с 2016 годом показатель сократился на 2,2% и составил 3,4%. </w:t>
      </w:r>
    </w:p>
    <w:p w14:paraId="5328AFDF" w14:textId="047593E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Изменения обусловлены снижением бюджетных средств, предусмотренных на реализацию программы по обеспечению жильем молодых семей.</w:t>
      </w:r>
    </w:p>
    <w:p w14:paraId="2DB7C68E" w14:textId="6968F40B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Организация муниципального управления</w:t>
      </w:r>
    </w:p>
    <w:p w14:paraId="0A9E5EEC" w14:textId="00C61A72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7F723299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Уменьшение доли налоговых и неналоговых доходов местного бюджета за счет снижения поступлений: </w:t>
      </w:r>
    </w:p>
    <w:p w14:paraId="5B0C1037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налогов на совокупный доход (ЕНВД, ЕСХН) – 92,3%, в связи с уменьшением количества плательщиков ЕНВД, снятие с учета как плательщиков ЕНВД, переход на другие режимы налогообложения;</w:t>
      </w:r>
    </w:p>
    <w:p w14:paraId="78D6F8E6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доходов от уплаты акцизов на нефтепродукты – 78,0%, в связи с изменениями в законодательстве (снижение норматива зачисления в консолидированный бюджет субъекта);</w:t>
      </w:r>
    </w:p>
    <w:p w14:paraId="6A179779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доходов от использования имущества, находящегося в муниципальной собственности – 71,4%, в связи с расторжением договоров аренды имущества по сельским поселениям, с выкупом арендованных земельных участков в собственность и с возникшей задолженностью по платежам аренды земельных участков;</w:t>
      </w:r>
    </w:p>
    <w:p w14:paraId="261AE9FB" w14:textId="7777777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- платежей при пользовании природными ресурсами – 22,8%, в связи с изменения в ст.16 Федерального закона № 7-ФЗ от 10.01.2002, а также вступивших в законную силу </w:t>
      </w:r>
      <w:r w:rsidRPr="006025C4">
        <w:rPr>
          <w:rFonts w:ascii="Times New Roman" w:hAnsi="Times New Roman" w:cs="Times New Roman"/>
          <w:sz w:val="24"/>
          <w:szCs w:val="24"/>
        </w:rPr>
        <w:lastRenderedPageBreak/>
        <w:t>ст.16.1-16.5 указанного Федерального закона.</w:t>
      </w:r>
    </w:p>
    <w:p w14:paraId="4AF133C5" w14:textId="1619B30F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Показатель за 2017 год рассчитан исходя, из фактических поступлений, на 2018 и плановый период рассчитан исходя из утвержденных плановых значений на 2018-2020 гг. Из-за нестабильной экономики темп роста налоговых и неналоговых доходов не планируется.</w:t>
      </w:r>
    </w:p>
    <w:p w14:paraId="04A12367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Муниципальным образованием «Кудымкарский муниципальный район» в части увеличения налоговых и неналоговых доходов проводится следующая работа:</w:t>
      </w:r>
    </w:p>
    <w:p w14:paraId="34D7EA9B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организована совместная работа надзорных и контрольных органов по выявлению факта уплаты НДФЛ по месту нахождения организации и привлечения к </w:t>
      </w:r>
      <w:proofErr w:type="gram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уплате  НДФЛ</w:t>
      </w:r>
      <w:proofErr w:type="gram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месту осуществления деятельности;</w:t>
      </w:r>
    </w:p>
    <w:p w14:paraId="5A4FFB06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организована совместная работа надзорных и контрольных органов по выявлению фактов осуществления предпринимательской деятельности путем организации рабочих мест без регистрации в установленном порядке с целью </w:t>
      </w:r>
      <w:proofErr w:type="gram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привлечения  к</w:t>
      </w:r>
      <w:proofErr w:type="gram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уплате НДФЛ по месту осуществления деятельности;</w:t>
      </w:r>
    </w:p>
    <w:p w14:paraId="495DF04B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осуществляется мониторинг налогового потенциала муниципальных образований;</w:t>
      </w:r>
    </w:p>
    <w:p w14:paraId="33D8424A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организована совместная работа по обеспечению проведения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 и находящихся на </w:t>
      </w:r>
      <w:proofErr w:type="gram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таких  земельных</w:t>
      </w:r>
      <w:proofErr w:type="gram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участках объекты капитального строительства;</w:t>
      </w:r>
    </w:p>
    <w:p w14:paraId="0A73F0F2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организована работа по вовлечению в оборот земельных участков, выявления неиспользованного имущества для эффективного использования. Продажу земельных участков осуществлять посредством проведения аукционов и открытых торгов.</w:t>
      </w:r>
    </w:p>
    <w:p w14:paraId="1CEF2226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активизирована работа сельских поселений по введению на территориях самообложения граждан с целью привлечения средств краевого бюджета. На территории района самообложение граждан на 2018 год введено в </w:t>
      </w:r>
      <w:proofErr w:type="spell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Ёгвинском</w:t>
      </w:r>
      <w:proofErr w:type="spell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Ошибском</w:t>
      </w:r>
      <w:proofErr w:type="spell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Верх-</w:t>
      </w:r>
      <w:proofErr w:type="spell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Иньвенском</w:t>
      </w:r>
      <w:proofErr w:type="spell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Ленинском СП.  </w:t>
      </w:r>
    </w:p>
    <w:p w14:paraId="1CFDC20E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целях обеспечения полноты поступления налоговых и неналоговых доходов муниципальное образование:</w:t>
      </w:r>
    </w:p>
    <w:p w14:paraId="4E0A5A0B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осуществляет деятельность комиссия по легализации </w:t>
      </w:r>
      <w:proofErr w:type="gram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доходов  администрации</w:t>
      </w:r>
      <w:proofErr w:type="gram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Кудымкарского муниципального района и сельских поселений с целью погашения налогоплательщиками задолженности по налогам и сборам;</w:t>
      </w:r>
    </w:p>
    <w:p w14:paraId="7E2D325B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доводится информация жителям по установлению, исчислению налогов, сроков уплаты и необходимости погашения задолженности на сходах граждан (информационных встречах) в сельских поселениях;</w:t>
      </w:r>
    </w:p>
    <w:p w14:paraId="26F1CF83" w14:textId="77777777" w:rsidR="004B1A51" w:rsidRPr="004B1A51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организована </w:t>
      </w:r>
      <w:proofErr w:type="spellStart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Pr="004B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исковая работа администраторов доходов;</w:t>
      </w:r>
    </w:p>
    <w:p w14:paraId="72F70191" w14:textId="25B29135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осуществляется ежемесячный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мониторинг  о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состоянии задолженности муниципальных учреждений района.</w:t>
      </w:r>
    </w:p>
    <w:p w14:paraId="5FE2BB2A" w14:textId="6995A78E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</w:t>
      </w:r>
    </w:p>
    <w:p w14:paraId="2D49F184" w14:textId="0E75A2E7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Организаций муниципальной формы собственности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находящихся в стадии банкротства в муниципальном районе не имеется.</w:t>
      </w:r>
    </w:p>
    <w:p w14:paraId="4C344701" w14:textId="2D267552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«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района)»</w:t>
      </w:r>
    </w:p>
    <w:p w14:paraId="376F9DE3" w14:textId="2E5AB4D5" w:rsidR="004B1A51" w:rsidRPr="006025C4" w:rsidRDefault="004B1A51" w:rsidP="006025C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Не завершенное строительство отсутствует.</w:t>
      </w:r>
    </w:p>
    <w:p w14:paraId="6FDBAB83" w14:textId="77777777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</w:t>
      </w:r>
    </w:p>
    <w:p w14:paraId="7258242F" w14:textId="6EA613FC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Просроченная  кредиторская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задолженность  по оплате труда (включая начисления на оплату труда) муниципальных учреждений  Кудымкарского муниципального района в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общем объеме расходов Кудымкарского муниципального района  на оплату труда (включая начисления на оплату труда) отсутствует.</w:t>
      </w:r>
    </w:p>
    <w:p w14:paraId="74599A56" w14:textId="2C82D5BF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Принимаются меры к недопущению просроченной кредиторской задолженности по оплате труда (включая начисления на оплату труда) муниципальных учреждений на постоянной основе.</w:t>
      </w:r>
    </w:p>
    <w:p w14:paraId="37D8087F" w14:textId="518F417C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7FD00D4E" w14:textId="3CAA5EC4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Расходы на содержание работников органов местного самоуправления Кудымкарского муниципального района в расчете на одного жителя муниципального образования возрастают в связи с тем, что уменьшается численность населения.</w:t>
      </w:r>
    </w:p>
    <w:p w14:paraId="6F026243" w14:textId="435F0768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Расходы на содержание органов местного самоуправления за 2017 год произведены в соответствии с постановлением Правительства Пермского края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2017 год и на плановый период 2018-2019 годов» от 18.11.2016 № 1052-п.</w:t>
      </w:r>
    </w:p>
    <w:p w14:paraId="2FABEA70" w14:textId="47F72214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</w:t>
      </w:r>
    </w:p>
    <w:p w14:paraId="6EE3362D" w14:textId="5BD96AFF" w:rsidR="004B1A51" w:rsidRPr="006025C4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Схема территориального планирования муниципального района утверждена решением Земского Собрания Кудымкарского муниципального района №55 от 22.10.2009 года, в которое вносятся изменения при необходимости.</w:t>
      </w:r>
    </w:p>
    <w:p w14:paraId="6B070B4F" w14:textId="6A37887A" w:rsidR="004B1A51" w:rsidRPr="006025C4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«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Удовлетворенность населения деятельностью органов местного самоуправления городского округа (муниципального района)»</w:t>
      </w:r>
    </w:p>
    <w:p w14:paraId="4BC97028" w14:textId="77777777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На удовлетворенность населения деятельностью ОМС влияют следующие показатели:</w:t>
      </w:r>
    </w:p>
    <w:p w14:paraId="09E0903E" w14:textId="77777777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строительство объектов социальной сферы, инфраструктуры;</w:t>
      </w:r>
    </w:p>
    <w:p w14:paraId="070A489C" w14:textId="77777777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поддержка малого бизнеса, сельскохозяйственных предприятий;</w:t>
      </w:r>
    </w:p>
    <w:p w14:paraId="6F7B91F3" w14:textId="67E36A21" w:rsidR="00947161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- улучшение жилищных условий граждан с привлечением федеральных, краевых средств</w:t>
      </w:r>
    </w:p>
    <w:p w14:paraId="1E0C9248" w14:textId="77777777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Для повышения показателя планируется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проведение  оценки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деятельности поселений, информационных встреч главы района с населением, организация приема граждан главой и руководящими работниками администрации, анализ данных сайта по оценке муниципальных услуг.</w:t>
      </w:r>
    </w:p>
    <w:p w14:paraId="736DE540" w14:textId="66D1AC08" w:rsidR="00947161" w:rsidRPr="006025C4" w:rsidRDefault="006025C4" w:rsidP="006025C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«Среднегодовая численность постоянного населения</w:t>
      </w:r>
      <w:r w:rsidRPr="006025C4">
        <w:rPr>
          <w:rFonts w:ascii="Times New Roman" w:hAnsi="Times New Roman" w:cs="Times New Roman"/>
          <w:sz w:val="24"/>
          <w:szCs w:val="24"/>
        </w:rPr>
        <w:t>»</w:t>
      </w:r>
    </w:p>
    <w:p w14:paraId="14C19DBA" w14:textId="64E01EE6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Среднегодовая численность постоянного </w:t>
      </w:r>
      <w:proofErr w:type="gram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населения  за</w:t>
      </w:r>
      <w:proofErr w:type="gram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2017 год составила 22,799 тыс. чел. Численность населения сокращается, так как в районе наблюдается миграционный отток и естественная убыль населения. Для стабилизации численности населения муниципального образования ведется работа над созданием комфортной среды проживания: развитие инфраструктуры, социальной сферы, реализация программ по обеспечению жильем.</w:t>
      </w:r>
    </w:p>
    <w:p w14:paraId="050E3F57" w14:textId="4C936E11" w:rsidR="006025C4" w:rsidRPr="006025C4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14:paraId="35AED81B" w14:textId="1E7C03BC" w:rsidR="006025C4" w:rsidRPr="006025C4" w:rsidRDefault="006025C4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 «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Удельная величина потребления энергетических ресурсов в многоквартирных домах» </w:t>
      </w:r>
    </w:p>
    <w:p w14:paraId="16A8090F" w14:textId="14B9F4ED" w:rsidR="006025C4" w:rsidRPr="006025C4" w:rsidRDefault="006025C4" w:rsidP="006025C4">
      <w:pPr>
        <w:pStyle w:val="a3"/>
        <w:widowControl w:val="0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По </w:t>
      </w:r>
      <w:r w:rsidRPr="006025C4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  <w:r w:rsidRPr="006025C4">
        <w:rPr>
          <w:rFonts w:ascii="Times New Roman" w:hAnsi="Times New Roman" w:cs="Times New Roman"/>
          <w:sz w:val="24"/>
          <w:szCs w:val="24"/>
        </w:rPr>
        <w:t xml:space="preserve"> д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анные за 2017 год приведены по фактическому расходу в многоквартирных домах. В 2017 г. – 384707 кВт/ч, количество проживающих в многоквартирных домах – 404 чел. Наблюдается увеличение потребления ресурса, которое связано с увеличением количества электроприборов.</w:t>
      </w:r>
    </w:p>
    <w:p w14:paraId="37BC69A8" w14:textId="7D98F1BE" w:rsidR="006025C4" w:rsidRPr="006025C4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hAnsi="Times New Roman" w:cs="Times New Roman"/>
          <w:sz w:val="24"/>
          <w:szCs w:val="24"/>
        </w:rPr>
        <w:t xml:space="preserve">По </w:t>
      </w:r>
      <w:r w:rsidRPr="006025C4">
        <w:rPr>
          <w:rFonts w:ascii="Times New Roman" w:hAnsi="Times New Roman" w:cs="Times New Roman"/>
          <w:b/>
          <w:sz w:val="24"/>
          <w:szCs w:val="24"/>
        </w:rPr>
        <w:t>тепловой энергии</w:t>
      </w:r>
      <w:r w:rsidRPr="006025C4">
        <w:rPr>
          <w:rFonts w:ascii="Times New Roman" w:hAnsi="Times New Roman" w:cs="Times New Roman"/>
          <w:sz w:val="24"/>
          <w:szCs w:val="24"/>
        </w:rPr>
        <w:t xml:space="preserve">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показатель в 2017 году составил 0,13 Гкал. На 2018-2020 гг. показатель планируется на уровне 2017 года.</w:t>
      </w:r>
    </w:p>
    <w:p w14:paraId="6F7EF391" w14:textId="354EE0B4" w:rsidR="006025C4" w:rsidRPr="006025C4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Горячее водоснабжение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районе отсутствует.</w:t>
      </w:r>
    </w:p>
    <w:p w14:paraId="2E0F16C2" w14:textId="73C8BE50" w:rsidR="006025C4" w:rsidRPr="006025C4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2017 году </w:t>
      </w:r>
      <w:r w:rsidRPr="006025C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природный газ</w:t>
      </w:r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используется, как и в 2016 г. в 31 многоквартирном доме. В 2017 году объем потребления природного газа – 66462 </w:t>
      </w:r>
      <w:proofErr w:type="spell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куб.м</w:t>
      </w:r>
      <w:proofErr w:type="spell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(в 2016 году – 66042 </w:t>
      </w:r>
      <w:proofErr w:type="spellStart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куб.м</w:t>
      </w:r>
      <w:proofErr w:type="spellEnd"/>
      <w:r w:rsidRPr="006025C4">
        <w:rPr>
          <w:rFonts w:ascii="Times New Roman" w:eastAsia="Courier New" w:hAnsi="Times New Roman" w:cs="Times New Roman"/>
          <w:sz w:val="24"/>
          <w:szCs w:val="24"/>
          <w:lang w:eastAsia="ru-RU"/>
        </w:rPr>
        <w:t>.), количество проживающих, которым отпущен газ – 143 чел.</w:t>
      </w:r>
    </w:p>
    <w:p w14:paraId="7739E777" w14:textId="54236E93" w:rsidR="006025C4" w:rsidRPr="006025C4" w:rsidRDefault="006025C4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«Удельная величина потребления энергетических ресурсов муниципальными бюджетными учреждениями»</w:t>
      </w:r>
    </w:p>
    <w:p w14:paraId="4FC1BE25" w14:textId="5B2FB796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электрической энергии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формируется в соответствии с оперативными данными о фактическом потреблении бюджетными учреждениями электрической энергии, незначительное увеличение показателя в 2017 году обусловлено с проведением работ по завершению строительства универсального спортивного зала в с. Ленинск.</w:t>
      </w:r>
    </w:p>
    <w:p w14:paraId="50A2D746" w14:textId="57FDE5C1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территории муниципального района действует муниципальная программа "Повышение энергетической эффективности и сокращение энергетических издержек в учреждениях бюджетной сферы Кудымкарского муниципального района", в которой запланированы мероприятия по снижению потребления энергоресурсов.</w:t>
      </w:r>
    </w:p>
    <w:p w14:paraId="4263F335" w14:textId="1A1CDA0C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Удельная величина потребления </w:t>
      </w: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тепловой энергии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муниципальным бюджетным учреждением в 2017 году составила 0,24 Гкал на </w:t>
      </w:r>
      <w:proofErr w:type="spellStart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кв.м</w:t>
      </w:r>
      <w:proofErr w:type="spellEnd"/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>. общей площади.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Показатель формируется в соответствии с оперативными данными о фактическом потреблении бюджетными учреждениями тепловой энергии.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период 2018-2020 гг. ожидается сохранение данной величины.</w:t>
      </w:r>
    </w:p>
    <w:p w14:paraId="5FE5CE9B" w14:textId="4B2BC612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Горячее водоснабжение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районе отсутствует.</w:t>
      </w:r>
    </w:p>
    <w:p w14:paraId="695A8145" w14:textId="1D4256CB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Удельная величина потребления </w:t>
      </w: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холодной воды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увеличилась по сравнению с 2016 годом в связи с введением в конце 2017 года новых объектов в сфере образования. На период 2018-2020 гг. ожидается увеличение потребления воды в связи с вводом в эксплуатацию спортивного зала в с. Ленинск.</w:t>
      </w:r>
    </w:p>
    <w:p w14:paraId="150864FB" w14:textId="1FE0567C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Удельная величина потребления </w:t>
      </w:r>
      <w:r w:rsidRPr="006025C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природного газа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2017 году составила 10,2 м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</w:rPr>
        <w:t>3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одного человека. Уменьшение произошло в связи с уменьшением температурного режима в отопительный сезон 2017 года. На период 2018-2020 гг. ожидается сохранение данной величины.</w:t>
      </w:r>
    </w:p>
    <w:p w14:paraId="7C6298A7" w14:textId="3B57C838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8DC4B" w14:textId="3617FBD1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46135" w14:textId="77777777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85D5E" w14:textId="77777777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муниципального района – </w:t>
      </w:r>
    </w:p>
    <w:p w14:paraId="558D6ACD" w14:textId="77777777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администрации Кудымкарского </w:t>
      </w:r>
    </w:p>
    <w:p w14:paraId="38B28357" w14:textId="48FAF103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В.А. Климов</w:t>
      </w:r>
    </w:p>
    <w:p w14:paraId="770B339F" w14:textId="77777777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25C4" w:rsidRPr="0060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4CE"/>
    <w:multiLevelType w:val="hybridMultilevel"/>
    <w:tmpl w:val="8D707CA2"/>
    <w:lvl w:ilvl="0" w:tplc="71681E1C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A82"/>
    <w:multiLevelType w:val="hybridMultilevel"/>
    <w:tmpl w:val="8D707CA2"/>
    <w:lvl w:ilvl="0" w:tplc="71681E1C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041"/>
    <w:multiLevelType w:val="hybridMultilevel"/>
    <w:tmpl w:val="2AA8C720"/>
    <w:lvl w:ilvl="0" w:tplc="BB5A06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BA2052"/>
    <w:multiLevelType w:val="hybridMultilevel"/>
    <w:tmpl w:val="E72C03C4"/>
    <w:lvl w:ilvl="0" w:tplc="5484DC5A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15C2"/>
    <w:multiLevelType w:val="hybridMultilevel"/>
    <w:tmpl w:val="26DC4F42"/>
    <w:lvl w:ilvl="0" w:tplc="C8469CF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7465130F"/>
    <w:multiLevelType w:val="hybridMultilevel"/>
    <w:tmpl w:val="9A9CD208"/>
    <w:lvl w:ilvl="0" w:tplc="3B56C866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2"/>
    <w:rsid w:val="00097580"/>
    <w:rsid w:val="00146F05"/>
    <w:rsid w:val="001C4610"/>
    <w:rsid w:val="00240CD2"/>
    <w:rsid w:val="004B1A51"/>
    <w:rsid w:val="00571C42"/>
    <w:rsid w:val="005A3EC6"/>
    <w:rsid w:val="006025C4"/>
    <w:rsid w:val="006E40CD"/>
    <w:rsid w:val="00767D48"/>
    <w:rsid w:val="00947161"/>
    <w:rsid w:val="00970C06"/>
    <w:rsid w:val="00994362"/>
    <w:rsid w:val="00A22876"/>
    <w:rsid w:val="00B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07A"/>
  <w15:chartTrackingRefBased/>
  <w15:docId w15:val="{B011BBC6-2AC8-4A0D-84F3-FA7C8CEA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EC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3E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dcterms:created xsi:type="dcterms:W3CDTF">2018-04-28T06:44:00Z</dcterms:created>
  <dcterms:modified xsi:type="dcterms:W3CDTF">2018-05-31T09:07:00Z</dcterms:modified>
</cp:coreProperties>
</file>