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A48C" w14:textId="0877E3CA" w:rsidR="005A3EC6" w:rsidRPr="005A3EC6" w:rsidRDefault="005A3EC6" w:rsidP="006025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14:paraId="511B6088" w14:textId="77777777" w:rsidR="005A3EC6" w:rsidRPr="005A3EC6" w:rsidRDefault="005A3EC6" w:rsidP="006025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 докладу главы муниципального района - главы администрации Кудымкарского муниципального района</w:t>
      </w:r>
    </w:p>
    <w:p w14:paraId="22531ACC" w14:textId="77777777" w:rsidR="005A3EC6" w:rsidRPr="005A3EC6" w:rsidRDefault="005A3EC6" w:rsidP="006025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Климова Валерия Анатольевича</w:t>
      </w:r>
    </w:p>
    <w:p w14:paraId="6937D255" w14:textId="3F0E3419" w:rsidR="005A3EC6" w:rsidRPr="005A3EC6" w:rsidRDefault="005A3EC6" w:rsidP="006025C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«О достигнутых значениях показателей для оценки эффективности деятельности органов местного самоуправления за 201</w:t>
      </w:r>
      <w:r w:rsidR="00C0665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A3EC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год и планируемых значениях на 3-летний период»</w:t>
      </w:r>
    </w:p>
    <w:p w14:paraId="2B088C21" w14:textId="77777777" w:rsidR="005A3EC6" w:rsidRPr="006025C4" w:rsidRDefault="005A3EC6" w:rsidP="006025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2167ED8" w14:textId="6DDE6DF6" w:rsidR="005A3EC6" w:rsidRPr="006025C4" w:rsidRDefault="005A3EC6" w:rsidP="006025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6025C4">
        <w:rPr>
          <w:rFonts w:ascii="Times New Roman" w:hAnsi="Times New Roman" w:cs="Times New Roman"/>
          <w:b/>
          <w:sz w:val="24"/>
          <w:szCs w:val="24"/>
        </w:rPr>
        <w:t xml:space="preserve">I. Общие сведения о </w:t>
      </w:r>
      <w:r w:rsidR="00146F05">
        <w:rPr>
          <w:rFonts w:ascii="Times New Roman" w:hAnsi="Times New Roman" w:cs="Times New Roman"/>
          <w:b/>
          <w:sz w:val="24"/>
          <w:szCs w:val="24"/>
        </w:rPr>
        <w:t>Кудымкарском</w:t>
      </w:r>
      <w:r w:rsidRPr="006025C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14:paraId="5DBED9EA" w14:textId="240D21AD" w:rsidR="005A3EC6" w:rsidRPr="005A3EC6" w:rsidRDefault="005A3EC6" w:rsidP="006025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Кудымкарский район занимает площадь 4733 кв. км., протяженность района составляет с севера на юг — 105 км, с запада на восток - 110 км. С запада район граничит - с Кировской областью, на востоке с </w:t>
      </w:r>
      <w:proofErr w:type="spellStart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Юсьвинским</w:t>
      </w:r>
      <w:proofErr w:type="spellEnd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районом Пермского края, на юго-востоке - с Карагайским</w:t>
      </w:r>
      <w:r w:rsidR="00FA7F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районом</w:t>
      </w: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на северо-востоке с </w:t>
      </w:r>
      <w:r w:rsidR="007056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Березниковским городским округом</w:t>
      </w: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на юге - с Сивинским и Карагайским районами, с севера — с </w:t>
      </w:r>
      <w:proofErr w:type="spellStart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Юрлинским</w:t>
      </w:r>
      <w:proofErr w:type="spellEnd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Косинским районами.</w:t>
      </w:r>
    </w:p>
    <w:p w14:paraId="334B1186" w14:textId="66A28B4B" w:rsidR="005A3EC6" w:rsidRPr="006025C4" w:rsidRDefault="005A3EC6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территории Кудымкарского района расположены шесть сельских поселений: Белоевское, Верх-Иньвенское, Егвинское, Ленинское, Ошибское, Степановское, в которые входят </w:t>
      </w:r>
      <w:proofErr w:type="gramStart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276  населенных</w:t>
      </w:r>
      <w:proofErr w:type="gramEnd"/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пунктов. Население Кудымкарского района на </w:t>
      </w:r>
      <w:r w:rsidRPr="005A3EC6">
        <w:rPr>
          <w:rFonts w:ascii="Times New Roman" w:eastAsia="Courier New" w:hAnsi="Times New Roman" w:cs="Times New Roman"/>
          <w:sz w:val="24"/>
          <w:szCs w:val="24"/>
          <w:lang w:eastAsia="ru-RU"/>
        </w:rPr>
        <w:t>01.01.201</w:t>
      </w:r>
      <w:r w:rsidR="007056D2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составляет – </w:t>
      </w:r>
      <w:r w:rsidRPr="005A3EC6">
        <w:rPr>
          <w:rFonts w:ascii="Times New Roman" w:eastAsia="Courier New" w:hAnsi="Times New Roman" w:cs="Times New Roman"/>
          <w:sz w:val="24"/>
          <w:szCs w:val="24"/>
          <w:lang w:eastAsia="ru-RU"/>
        </w:rPr>
        <w:t>22</w:t>
      </w:r>
      <w:r w:rsidR="007056D2">
        <w:rPr>
          <w:rFonts w:ascii="Times New Roman" w:eastAsia="Courier New" w:hAnsi="Times New Roman" w:cs="Times New Roman"/>
          <w:sz w:val="24"/>
          <w:szCs w:val="24"/>
          <w:lang w:eastAsia="ru-RU"/>
        </w:rPr>
        <w:t>319</w:t>
      </w:r>
      <w:r w:rsidRPr="005A3EC6"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3EC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чел. Административный центр района — г. Кудымкар.</w:t>
      </w:r>
    </w:p>
    <w:p w14:paraId="2D59FD58" w14:textId="61EBFDEC" w:rsidR="00B647A4" w:rsidRPr="006025C4" w:rsidRDefault="005A3EC6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C4">
        <w:rPr>
          <w:rFonts w:ascii="Times New Roman" w:hAnsi="Times New Roman" w:cs="Times New Roman"/>
          <w:b/>
          <w:sz w:val="24"/>
          <w:szCs w:val="24"/>
        </w:rPr>
        <w:t>II. Аналитическая информация о достижении значений показателей</w:t>
      </w:r>
    </w:p>
    <w:p w14:paraId="0423080E" w14:textId="2FB1A5D8" w:rsidR="005A3EC6" w:rsidRPr="006025C4" w:rsidRDefault="005A3EC6" w:rsidP="006025C4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5C4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14:paraId="4D340AD0" w14:textId="6FF36C20" w:rsidR="005A3EC6" w:rsidRPr="006025C4" w:rsidRDefault="005A3EC6" w:rsidP="006025C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hAnsi="Times New Roman" w:cs="Times New Roman"/>
          <w:sz w:val="24"/>
          <w:szCs w:val="24"/>
        </w:rPr>
        <w:t>«Число субъектов малого и среднего предпринимательства в расчете на 10 тыс. населения»</w:t>
      </w:r>
    </w:p>
    <w:p w14:paraId="6888020E" w14:textId="5ED93171" w:rsidR="005A3EC6" w:rsidRPr="006025C4" w:rsidRDefault="005A3EC6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ru-RU"/>
        </w:rPr>
        <w:t>рассчитывается один раз в пять лет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val="x-none" w:eastAsia="ru-RU"/>
        </w:rPr>
        <w:t xml:space="preserve">на основании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итогов сплошного наблюдения за деятельностью субъектов малого и среднего предпринимательства (сплошное наблюдение проведено за 2015 год) и его значение составило 145,6. По данным Межрайонной ИФНС России № 1 по Пермскому краю число субъектов малого и среднего предпринимательства  составило  в 201</w:t>
      </w:r>
      <w:r w:rsidR="00C066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8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3</w:t>
      </w:r>
      <w:r w:rsidR="00C066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66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из них: 3</w:t>
      </w:r>
      <w:r w:rsidR="00C066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10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индивидуальные предприниматели, </w:t>
      </w:r>
      <w:r w:rsidR="00C066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56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– малые и средние предприятия</w:t>
      </w:r>
      <w:r w:rsidR="00C0665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3 – крупные предприятия.</w:t>
      </w:r>
    </w:p>
    <w:p w14:paraId="7F40D7C4" w14:textId="5BE8C2C0" w:rsidR="005A3EC6" w:rsidRPr="00C0665A" w:rsidRDefault="005A3EC6" w:rsidP="006025C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>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</w:p>
    <w:p w14:paraId="3E54BF24" w14:textId="600A7E48" w:rsidR="005A3EC6" w:rsidRPr="00C0740C" w:rsidRDefault="005A3EC6" w:rsidP="006025C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66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665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В 201</w:t>
      </w:r>
      <w:r w:rsidR="00A37DB2"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показатель сохранился на уровне 201</w:t>
      </w:r>
      <w:r w:rsidR="00A37DB2"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7</w:t>
      </w:r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года и составил 16,9%. Формирование значения данного показателя указано по данным </w:t>
      </w:r>
      <w:proofErr w:type="spellStart"/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Пермьстата</w:t>
      </w:r>
      <w:proofErr w:type="spellEnd"/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0B842E59" w14:textId="35812A23" w:rsidR="005A3EC6" w:rsidRPr="00C0740C" w:rsidRDefault="005A3EC6" w:rsidP="006025C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В 201</w:t>
      </w:r>
      <w:r w:rsidR="00A37DB2"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-202</w:t>
      </w:r>
      <w:r w:rsidR="00A37DB2"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1</w:t>
      </w:r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гг. планируется сохранение </w:t>
      </w:r>
      <w:proofErr w:type="gramStart"/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>значения  показателя</w:t>
      </w:r>
      <w:proofErr w:type="gramEnd"/>
      <w:r w:rsidRPr="00C0740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размере 16,9%.</w:t>
      </w:r>
    </w:p>
    <w:p w14:paraId="46E7A52A" w14:textId="1CC1C21B" w:rsidR="005A3EC6" w:rsidRPr="00BE1043" w:rsidRDefault="005A3EC6" w:rsidP="00BE104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C07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действует подпрограмма «Развитие малого и среднего предпринимательства» муниципальной программы «Экономическое развитие Кудымкарского муниципального района»</w:t>
      </w:r>
      <w:r w:rsidR="00A37DB2" w:rsidRPr="00C07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DB2" w:rsidRPr="00C0740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 </w:t>
      </w:r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рамках </w:t>
      </w:r>
      <w:proofErr w:type="gramStart"/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реализации  мероприятий</w:t>
      </w:r>
      <w:proofErr w:type="gramEnd"/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подпрограммы по  пропаганде и популяризации  предпринимательской деятельности </w:t>
      </w:r>
      <w:r w:rsidR="00A37DB2" w:rsidRPr="00B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проведен </w:t>
      </w:r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ежегодный  конкурс «Лучший предприниматель Кудымкарского муниципального района</w:t>
      </w:r>
      <w:r w:rsidR="00BE10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»</w:t>
      </w:r>
      <w:r w:rsid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Для поощрения работников ведущих </w:t>
      </w:r>
      <w:proofErr w:type="gramStart"/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отраслей  и</w:t>
      </w:r>
      <w:proofErr w:type="gramEnd"/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обмена  опытом   проведены следующие конкурсы профмастерства</w:t>
      </w:r>
      <w:r w:rsidR="00A37D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«Лучший водитель-оператор гидроманипулятора 2018 года»</w:t>
      </w:r>
      <w:r w:rsidR="00C0740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</w:t>
      </w:r>
      <w:r w:rsidR="00A37DB2" w:rsidRP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«Лучший по профессии в сфере общественного питания и производства хлебобулочных изделий»</w:t>
      </w:r>
      <w:r w:rsidR="00A37DB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  <w:r w:rsidR="00BE1043" w:rsidRPr="00BE10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Расходы по подпрограмме поддержки малого и среднего предпринимательства за 2018 </w:t>
      </w:r>
      <w:proofErr w:type="gramStart"/>
      <w:r w:rsidR="00BE1043" w:rsidRPr="00BE10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год  из</w:t>
      </w:r>
      <w:proofErr w:type="gramEnd"/>
      <w:r w:rsidR="00BE1043" w:rsidRPr="00BE10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бюджета района составили 360,375 тыс. рублей. </w:t>
      </w:r>
      <w:r w:rsidRPr="00BE1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программы</w:t>
      </w:r>
      <w:r w:rsidR="00BE1043" w:rsidRPr="00B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«Экономическая политика Кудымкарского муниципального района»</w:t>
      </w:r>
      <w:r w:rsidRPr="00B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района на 201</w:t>
      </w:r>
      <w:r w:rsidR="00BE1043" w:rsidRPr="00BE10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предусмотрено 600, 0 тыс. руб.</w:t>
      </w:r>
    </w:p>
    <w:p w14:paraId="7FE1FD2F" w14:textId="66372191" w:rsidR="005A3EC6" w:rsidRPr="00C0665A" w:rsidRDefault="005A3EC6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«Объем инвестиций в основной капитал (за исключением бюджетных средств) в расчете на 1 жителя»</w:t>
      </w:r>
    </w:p>
    <w:p w14:paraId="6C0F9482" w14:textId="6E1DBAD3" w:rsidR="005A3EC6" w:rsidRPr="00C840CA" w:rsidRDefault="00C840CA" w:rsidP="00602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показателя в 2018 году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2319,511 руб. на 1 жителя. Показатель за предыдущий период (2017 год) был выше за счет </w:t>
      </w:r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</w:t>
      </w:r>
      <w:r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внебюджетных </w:t>
      </w:r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источников финансирования </w:t>
      </w:r>
      <w:r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объекты: СДК на 200 мест в с. </w:t>
      </w:r>
      <w:proofErr w:type="spellStart"/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>Белоево</w:t>
      </w:r>
      <w:proofErr w:type="spellEnd"/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строительство фельдшерско-акушерского пункта в д. </w:t>
      </w:r>
      <w:proofErr w:type="spellStart"/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>Гурино</w:t>
      </w:r>
      <w:proofErr w:type="spellEnd"/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сушильно-сортировочный комплекс в д. </w:t>
      </w:r>
      <w:proofErr w:type="spellStart"/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>М.Серва</w:t>
      </w:r>
      <w:proofErr w:type="spellEnd"/>
      <w:r w:rsidR="005A3EC6" w:rsidRPr="00C84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60 т.</w:t>
      </w:r>
    </w:p>
    <w:p w14:paraId="7872D30B" w14:textId="7A0C643D" w:rsidR="005A3EC6" w:rsidRPr="00C840CA" w:rsidRDefault="005A3EC6" w:rsidP="006025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0C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В 201</w:t>
      </w:r>
      <w:r w:rsidR="00C840CA" w:rsidRPr="00C840C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C840C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C840CA" w:rsidRPr="00C840C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C840C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 гг. инвестиционная активность сохранится на уровне 201</w:t>
      </w:r>
      <w:r w:rsidR="000E51C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840CA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0E51C5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, крупных инвестиций не планируется.</w:t>
      </w:r>
    </w:p>
    <w:p w14:paraId="72279FF8" w14:textId="1944E549" w:rsidR="005A3EC6" w:rsidRPr="00C0665A" w:rsidRDefault="005A3EC6" w:rsidP="006025C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района)»</w:t>
      </w:r>
    </w:p>
    <w:p w14:paraId="0B15F170" w14:textId="3F4F5753" w:rsidR="00970C06" w:rsidRPr="00354D38" w:rsidRDefault="005A3EC6" w:rsidP="006025C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>Значение  показателя</w:t>
      </w:r>
      <w:proofErr w:type="gramEnd"/>
      <w:r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201</w:t>
      </w:r>
      <w:r w:rsidR="00354D38"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сохранилось на уровне 201</w:t>
      </w:r>
      <w:r w:rsidR="00354D38"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>7</w:t>
      </w:r>
      <w:r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года. На плановый период запланировано </w:t>
      </w:r>
      <w:r w:rsidR="00354D38"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незначительное </w:t>
      </w:r>
      <w:r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>увеличение доли показателя в связи с оформлением прав собственности владельцами объектов капитального строительства, расположенных на таких земельных участках, выкупом арендуемых земельных участков в собственность и продажей земельных участков в аренду и собственность на торгах.</w:t>
      </w:r>
    </w:p>
    <w:p w14:paraId="7A9F5E02" w14:textId="0029C100" w:rsidR="005A3EC6" w:rsidRPr="00C0665A" w:rsidRDefault="00970C06" w:rsidP="00602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прибыльных сельскохозяйственных организаций, в общем их числе»</w:t>
      </w:r>
    </w:p>
    <w:p w14:paraId="6173A056" w14:textId="77777777" w:rsidR="00354D38" w:rsidRPr="00354D38" w:rsidRDefault="00354D38" w:rsidP="0035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3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 итогам отчетного периода 1 сельскохозяйственное предприятие из 6 завершило год с прибылью. Это сельскохозяйственный производственный кооператив «Россия».  </w:t>
      </w:r>
      <w:r w:rsidRPr="00354D38">
        <w:rPr>
          <w:rFonts w:ascii="Times New Roman" w:hAnsi="Times New Roman" w:cs="Times New Roman"/>
          <w:sz w:val="24"/>
          <w:szCs w:val="24"/>
        </w:rPr>
        <w:t xml:space="preserve">К уровню 2017 года доля убыточных предприятий увеличилось на 33,33% (СПК «Колхоз им. Кирова», ООО «Парма»). </w:t>
      </w:r>
    </w:p>
    <w:p w14:paraId="2BDAE28D" w14:textId="77777777" w:rsidR="00354D38" w:rsidRPr="00354D38" w:rsidRDefault="00354D38" w:rsidP="0035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38">
        <w:rPr>
          <w:rFonts w:ascii="Times New Roman" w:hAnsi="Times New Roman" w:cs="Times New Roman"/>
          <w:sz w:val="24"/>
          <w:szCs w:val="24"/>
        </w:rPr>
        <w:t>В СПК «Колхоз им. Кирова» в отчетном году к уровню предыдущего года сократилась доля прибыли, полученная от реализации молока на 11929 тыс. руб. по причине роста себестоимости продукции на 23% и снижения цены реализации на 4%.</w:t>
      </w:r>
    </w:p>
    <w:p w14:paraId="073216DD" w14:textId="486E6182" w:rsidR="00354D38" w:rsidRDefault="00354D38" w:rsidP="0035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D38">
        <w:rPr>
          <w:rFonts w:ascii="Times New Roman" w:hAnsi="Times New Roman" w:cs="Times New Roman"/>
          <w:sz w:val="24"/>
          <w:szCs w:val="24"/>
        </w:rPr>
        <w:t xml:space="preserve">В ООО «Парма» за анализируемый период прибыль от реализации молока уменьшилась на 1721 тыс. руб. по аналогичной причине.  </w:t>
      </w:r>
    </w:p>
    <w:p w14:paraId="4D9FA10D" w14:textId="02F3149C" w:rsidR="000E51C5" w:rsidRPr="00354D38" w:rsidRDefault="000E51C5" w:rsidP="0035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планируемый период 2019-2021 годы ожидается увеличить количество прибыльных предприятий до двух (СХПК «Россия», СПК «Колхоз им. Кирова»).</w:t>
      </w:r>
    </w:p>
    <w:p w14:paraId="715C0770" w14:textId="27A3D562" w:rsidR="005A3EC6" w:rsidRPr="00C0665A" w:rsidRDefault="00354D38" w:rsidP="00354D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70C06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</w:r>
    </w:p>
    <w:p w14:paraId="17E29547" w14:textId="50065FF2" w:rsidR="00970C06" w:rsidRPr="008B3B34" w:rsidRDefault="00970C06" w:rsidP="0060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Показатель </w:t>
      </w:r>
      <w:r w:rsidR="0094784C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изменился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связи с тем, что в 201</w:t>
      </w:r>
      <w:r w:rsidR="00A504E4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в </w:t>
      </w:r>
      <w:r w:rsidR="0094784C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одном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4784C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из 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поселени</w:t>
      </w:r>
      <w:r w:rsidR="0094784C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й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района проводилась</w:t>
      </w:r>
      <w:r w:rsidR="0094784C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инвентаризация автомобильных дорог местного значения</w:t>
      </w:r>
      <w:r w:rsidR="0094784C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, а также в связи со строительством новых дорог.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 предоставленным отчетам </w:t>
      </w:r>
      <w:r w:rsidR="006E40CD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Росстат 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изменилась общая протяженность</w:t>
      </w:r>
      <w:r w:rsidRPr="008B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и составила 10</w:t>
      </w:r>
      <w:r w:rsidR="00A504E4" w:rsidRPr="008B3B34">
        <w:rPr>
          <w:rFonts w:ascii="Times New Roman" w:eastAsia="Times New Roman" w:hAnsi="Times New Roman" w:cs="Times New Roman"/>
          <w:sz w:val="24"/>
          <w:szCs w:val="24"/>
          <w:lang w:eastAsia="ru-RU"/>
        </w:rPr>
        <w:t>08,5</w:t>
      </w:r>
      <w:r w:rsidRPr="008B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Протяженность дорог, не отвечающих нормативным требованиям – </w:t>
      </w:r>
      <w:r w:rsidR="00A504E4" w:rsidRPr="008B3B34">
        <w:rPr>
          <w:rFonts w:ascii="Times New Roman" w:eastAsia="Times New Roman" w:hAnsi="Times New Roman" w:cs="Times New Roman"/>
          <w:sz w:val="24"/>
          <w:szCs w:val="24"/>
          <w:lang w:eastAsia="ru-RU"/>
        </w:rPr>
        <w:t>521,3</w:t>
      </w:r>
      <w:r w:rsidRPr="008B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14:paraId="7DC023D7" w14:textId="32C4AAA7" w:rsidR="00970C06" w:rsidRPr="00C0665A" w:rsidRDefault="006E40CD" w:rsidP="00354D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  <w:r w:rsidRPr="00C0665A">
        <w:rPr>
          <w:rFonts w:ascii="Times New Roman" w:hAnsi="Times New Roman" w:cs="Times New Roman"/>
          <w:sz w:val="24"/>
          <w:szCs w:val="24"/>
        </w:rPr>
        <w:t>»</w:t>
      </w:r>
    </w:p>
    <w:p w14:paraId="3DD388CF" w14:textId="4CF3BAF2" w:rsidR="006E40CD" w:rsidRPr="008B3B34" w:rsidRDefault="006E40CD" w:rsidP="006025C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Уменьшение показателя обусловлено снижением численности населения в труднодоступных населенных пунктах и общей численности населения. По </w:t>
      </w:r>
      <w:proofErr w:type="spellStart"/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похозйяственному</w:t>
      </w:r>
      <w:proofErr w:type="spellEnd"/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учету численность населения в населенных пунктах, не имеющих автобусного сообщения – 1</w:t>
      </w:r>
      <w:r w:rsidR="008B3B34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141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чел., среднегодовая численность населения по похозяйственному учету – 28</w:t>
      </w:r>
      <w:r w:rsidR="008B3B34"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>251</w:t>
      </w:r>
      <w:r w:rsidRPr="008B3B34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чел.</w:t>
      </w:r>
    </w:p>
    <w:p w14:paraId="35E140CD" w14:textId="77777777" w:rsidR="006E40CD" w:rsidRPr="008B3B34" w:rsidRDefault="006E40CD" w:rsidP="0060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34">
        <w:rPr>
          <w:rFonts w:ascii="Times New Roman" w:hAnsi="Times New Roman" w:cs="Times New Roman"/>
          <w:sz w:val="24"/>
          <w:szCs w:val="24"/>
        </w:rPr>
        <w:t>На плановый период показатель уменьшается в связи с сокращением численности населения.</w:t>
      </w:r>
    </w:p>
    <w:p w14:paraId="20437902" w14:textId="6DC83044" w:rsidR="006E40CD" w:rsidRPr="00C0665A" w:rsidRDefault="006E40CD" w:rsidP="00354D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«Среднемесячная номинальная начисленная заработная плата работников</w:t>
      </w:r>
      <w:r w:rsidRPr="00C0665A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F5B62B9" w14:textId="221A3B4B" w:rsidR="006E40CD" w:rsidRDefault="006E40CD" w:rsidP="00F8467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  <w:r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t>За отчетный период по всем указанным категориям работников наблюдается увеличение заработной платы, так как реализуются мероприятия, направленные на обеспечение доведения в 201</w:t>
      </w:r>
      <w:r w:rsidR="00C86A40"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средней заработной платы согласно Указам Президента Российской Федерации от 07.05.2012. № 597 «О мерах по реализации государственной социальной политики», </w:t>
      </w:r>
      <w:r w:rsidR="00C86A40"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t>от 07.05.2012 № 599 «О мерах по реализации государственной политики в области образования и науки»</w:t>
      </w:r>
      <w:r w:rsidR="00C8733F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14:paraId="05202797" w14:textId="0BC71C16" w:rsidR="00F84671" w:rsidRPr="00F84671" w:rsidRDefault="00F84671" w:rsidP="00F84671">
      <w:pPr>
        <w:spacing w:after="0" w:line="256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На плановый период 2019-2021 гг. ожидается уменьшение средней заработной платы работников дошкольных образовательных учреждений и учителей муниципальных общеобразовательных учреждений в связи с исключением из </w:t>
      </w:r>
      <w:r w:rsidRPr="00F84671">
        <w:rPr>
          <w:rFonts w:ascii="Times New Roman" w:eastAsia="Calibri" w:hAnsi="Times New Roman" w:cs="Times New Roman"/>
          <w:sz w:val="24"/>
          <w:szCs w:val="24"/>
        </w:rPr>
        <w:t>заработной платы компенсации стоимости жилищно-коммунальных услуг, входящих в 2018 году в расчет средней заработной платы работников образования.</w:t>
      </w:r>
      <w:r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14:paraId="66056308" w14:textId="2DD344C5" w:rsidR="006E40CD" w:rsidRPr="00C0665A" w:rsidRDefault="006E40CD" w:rsidP="006025C4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65A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14:paraId="74157525" w14:textId="708D386E" w:rsidR="00970C06" w:rsidRPr="00F84671" w:rsidRDefault="006E40CD" w:rsidP="00354D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лет»</w:t>
      </w:r>
    </w:p>
    <w:p w14:paraId="74BAB5E4" w14:textId="72EE8574" w:rsidR="00F84671" w:rsidRPr="00F84671" w:rsidRDefault="00F84671" w:rsidP="00F8467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Значение показателя в 2018 году сохранилось на уровне 2017 года, т.к. ликвидирована </w:t>
      </w:r>
      <w:proofErr w:type="gramStart"/>
      <w:r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t>очередь детей</w:t>
      </w:r>
      <w:proofErr w:type="gramEnd"/>
      <w:r w:rsidRPr="00F8467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получающих дошкольную образовательную услугу в возрасте от 3 до 7 лет. </w:t>
      </w:r>
      <w:r w:rsidRPr="00F84671">
        <w:rPr>
          <w:rFonts w:ascii="Times New Roman" w:eastAsia="Courier New" w:hAnsi="Times New Roman" w:cs="Times New Roman"/>
          <w:sz w:val="24"/>
          <w:szCs w:val="24"/>
        </w:rPr>
        <w:t>В прогнозном периоде на 201</w:t>
      </w:r>
      <w:r>
        <w:rPr>
          <w:rFonts w:ascii="Times New Roman" w:eastAsia="Courier New" w:hAnsi="Times New Roman" w:cs="Times New Roman"/>
          <w:sz w:val="24"/>
          <w:szCs w:val="24"/>
        </w:rPr>
        <w:t>9</w:t>
      </w:r>
      <w:r w:rsidRPr="00F84671">
        <w:rPr>
          <w:rFonts w:ascii="Times New Roman" w:eastAsia="Courier New" w:hAnsi="Times New Roman" w:cs="Times New Roman"/>
          <w:sz w:val="24"/>
          <w:szCs w:val="24"/>
        </w:rPr>
        <w:t>-202</w:t>
      </w:r>
      <w:r>
        <w:rPr>
          <w:rFonts w:ascii="Times New Roman" w:eastAsia="Courier New" w:hAnsi="Times New Roman" w:cs="Times New Roman"/>
          <w:sz w:val="24"/>
          <w:szCs w:val="24"/>
        </w:rPr>
        <w:t>1</w:t>
      </w:r>
      <w:r w:rsidRPr="00F8467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F84671">
        <w:rPr>
          <w:rFonts w:ascii="Times New Roman" w:eastAsia="Courier New" w:hAnsi="Times New Roman" w:cs="Times New Roman"/>
          <w:sz w:val="24"/>
          <w:szCs w:val="24"/>
        </w:rPr>
        <w:t>годы  показатель</w:t>
      </w:r>
      <w:proofErr w:type="gramEnd"/>
      <w:r w:rsidRPr="00F84671">
        <w:rPr>
          <w:rFonts w:ascii="Times New Roman" w:eastAsia="Courier New" w:hAnsi="Times New Roman" w:cs="Times New Roman"/>
          <w:sz w:val="24"/>
          <w:szCs w:val="24"/>
        </w:rPr>
        <w:t xml:space="preserve"> остаётся неизменным.</w:t>
      </w:r>
    </w:p>
    <w:p w14:paraId="55DC52F8" w14:textId="4382B43E" w:rsidR="006E40CD" w:rsidRPr="00C0665A" w:rsidRDefault="00F84671" w:rsidP="00354D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6E40CD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1 - 6 лет»</w:t>
      </w:r>
    </w:p>
    <w:p w14:paraId="2329F246" w14:textId="53C2A835" w:rsidR="00F84671" w:rsidRDefault="00F84671" w:rsidP="00F8467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Доля детей в возрасте 1-6 лет, стоящих в очереди, увеличилась в сравнении с 2017 годом на 15 человек. На учете </w:t>
      </w:r>
      <w:r w:rsidR="002E26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2018 году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для определения в муниципальные дошкольные образовательные учреждения состоит 78 человек в возрасте от 0 до 3 лет. 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Происходит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миграция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населения из мелких деревень в крупные населенные пункты. Возросла потребность родителей (законных представителей) в устройстве детей в детские дошкольные организации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Необходимы конкретные мероприятия по созданию дополнительных мест для детей дошкольного возраста данной категории в таких населенных пунктах, как 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М.Серва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д.Гурино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с.Ёгва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с.Верх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-Иньва. О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бщая численность детей в возрасте от 1-6 лет по данным Росстата на 01.01.2018 г. составляет 2550 человек.</w:t>
      </w:r>
    </w:p>
    <w:p w14:paraId="1B403E0D" w14:textId="77777777" w:rsidR="00F84671" w:rsidRDefault="00F84671" w:rsidP="00F84671">
      <w:pPr>
        <w:spacing w:after="0" w:line="24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2018 году за счет перепланировки помещения в структурном подразделении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Пешнигортская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«Детский сад с. Пешнигорт» было создано дополнительно 25 мест, что позволило ликвидировать очерёдность детей в возрасте до 3-х лет в данную дошкольную образовательную организацию.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14:paraId="3BB19B47" w14:textId="6C10C326" w:rsidR="006E40CD" w:rsidRPr="00C0665A" w:rsidRDefault="002E26BA" w:rsidP="00354D3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A22876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</w:t>
      </w:r>
    </w:p>
    <w:p w14:paraId="6D6A5763" w14:textId="5D3F4191" w:rsidR="00A22876" w:rsidRPr="002E26BA" w:rsidRDefault="00A22876" w:rsidP="006025C4">
      <w:pPr>
        <w:pStyle w:val="a3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2E26BA">
        <w:rPr>
          <w:rFonts w:ascii="Times New Roman" w:eastAsia="Courier New" w:hAnsi="Times New Roman" w:cs="Times New Roman"/>
          <w:sz w:val="24"/>
          <w:szCs w:val="24"/>
          <w:lang w:eastAsia="ru-RU"/>
        </w:rPr>
        <w:t>Аварийных зданий ДОУ нет, т.к. своевременно проводится текущий и капитальный ремонт.</w:t>
      </w:r>
    </w:p>
    <w:p w14:paraId="34E3EA89" w14:textId="21FBE4BC" w:rsidR="00A22876" w:rsidRPr="00C0665A" w:rsidRDefault="00A22876" w:rsidP="006025C4">
      <w:pPr>
        <w:pStyle w:val="a3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665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Общее и дополнительное образование</w:t>
      </w:r>
    </w:p>
    <w:p w14:paraId="5782C2FB" w14:textId="795AFF0D" w:rsidR="00A22876" w:rsidRPr="00C0665A" w:rsidRDefault="00A22876" w:rsidP="006025C4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выпускников муниципальных общеобразовательных учреждений, не получивших аттестат о среднем (полном) образовании»</w:t>
      </w:r>
    </w:p>
    <w:p w14:paraId="33674A79" w14:textId="77777777" w:rsidR="002E26BA" w:rsidRDefault="002E26BA" w:rsidP="002E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6BA">
        <w:rPr>
          <w:rFonts w:ascii="Times New Roman" w:eastAsia="Courier New" w:hAnsi="Times New Roman" w:cs="Times New Roman"/>
          <w:sz w:val="24"/>
          <w:szCs w:val="24"/>
          <w:lang w:eastAsia="ru-RU"/>
        </w:rPr>
        <w:t>Численность выпускников в образовательных организациях КМР в 2017 -2018 учебном году составила: выпускников 11 классов - 70 чел.; выпускников 9 классов – 260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2E26BA">
        <w:rPr>
          <w:rFonts w:ascii="Times New Roman" w:eastAsia="Courier New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л</w:t>
      </w:r>
      <w:r w:rsidRPr="002E26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Из них 1 выпускник не получил аттестат о среднем (полном) общем образовании, что составило 1,4%. Выпускник </w:t>
      </w:r>
      <w:r w:rsidRPr="002E26BA">
        <w:rPr>
          <w:rFonts w:ascii="Times New Roman" w:eastAsia="Calibri" w:hAnsi="Times New Roman" w:cs="Times New Roman"/>
          <w:bCs/>
          <w:sz w:val="24"/>
          <w:szCs w:val="24"/>
        </w:rPr>
        <w:t>не набрал необходимый для положительной отметки минимум по одному из обязательных предметов</w:t>
      </w:r>
      <w:r w:rsidRPr="002E26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26B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 математике.  </w:t>
      </w:r>
      <w:r w:rsidRPr="002E26BA">
        <w:rPr>
          <w:rFonts w:ascii="Times New Roman" w:eastAsia="Courier New" w:hAnsi="Times New Roman" w:cs="Times New Roman"/>
          <w:sz w:val="24"/>
          <w:szCs w:val="24"/>
        </w:rPr>
        <w:t xml:space="preserve">Для исключения случаев не сдачи ЕГЭ по основным предметам составляются планы подготовки выпускников 11 классов по сдаче ЕГЭ. Школы работают по индивидуальным учебным планам. Подготовка выпускников ведется </w:t>
      </w:r>
      <w:proofErr w:type="gramStart"/>
      <w:r w:rsidRPr="002E26BA">
        <w:rPr>
          <w:rFonts w:ascii="Times New Roman" w:eastAsia="Courier New" w:hAnsi="Times New Roman" w:cs="Times New Roman"/>
          <w:sz w:val="24"/>
          <w:szCs w:val="24"/>
        </w:rPr>
        <w:t>по материалам</w:t>
      </w:r>
      <w:proofErr w:type="gramEnd"/>
      <w:r w:rsidRPr="002E26BA">
        <w:rPr>
          <w:rFonts w:ascii="Times New Roman" w:eastAsia="Courier New" w:hAnsi="Times New Roman" w:cs="Times New Roman"/>
          <w:sz w:val="24"/>
          <w:szCs w:val="24"/>
        </w:rPr>
        <w:t xml:space="preserve"> опубликованным на официальных сайтах. Обучающиеся знакомятся с рекомендациями по проведению ЕГЭ. Педагоги ежегодно проходят курсы повышения квалификации для подготовки детей к ЕГЭ. Проводится профориентационная работа среди выпускников.</w:t>
      </w:r>
      <w:r w:rsidRPr="002E26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BF7EC3" w14:textId="77777777" w:rsidR="00A22876" w:rsidRPr="00C0665A" w:rsidRDefault="005A3EC6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 xml:space="preserve">  </w:t>
      </w:r>
      <w:r w:rsidR="00A22876" w:rsidRPr="00C0665A">
        <w:rPr>
          <w:rFonts w:ascii="Times New Roman" w:hAnsi="Times New Roman" w:cs="Times New Roman"/>
          <w:sz w:val="24"/>
          <w:szCs w:val="24"/>
        </w:rPr>
        <w:t>«</w:t>
      </w:r>
      <w:r w:rsidR="00A22876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</w:t>
      </w:r>
    </w:p>
    <w:p w14:paraId="6BEA8564" w14:textId="77777777" w:rsidR="002E26BA" w:rsidRDefault="002E26BA" w:rsidP="002E26B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Все образовательные организации соответствуют современным требованиям. Педагоги реализуют новые ФГОС на основной ступени обучения. Кабинеты оснащены автоматизированными местами, имеются интерактивные доски, внедряются новые технологии в учебный процесс.</w:t>
      </w:r>
    </w:p>
    <w:p w14:paraId="2900ED86" w14:textId="301E611C" w:rsidR="005A3EC6" w:rsidRPr="00C0665A" w:rsidRDefault="005A3EC6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 xml:space="preserve">   </w:t>
      </w:r>
      <w:r w:rsidR="00A22876" w:rsidRPr="00C0665A">
        <w:rPr>
          <w:rFonts w:ascii="Times New Roman" w:hAnsi="Times New Roman" w:cs="Times New Roman"/>
          <w:sz w:val="24"/>
          <w:szCs w:val="24"/>
        </w:rPr>
        <w:t>«</w:t>
      </w:r>
      <w:r w:rsidR="00A22876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</w:t>
      </w:r>
    </w:p>
    <w:p w14:paraId="4A96AA0D" w14:textId="653CB658" w:rsidR="002E26BA" w:rsidRDefault="002E26BA" w:rsidP="002E26B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соответствии с ФГОС в образовательных организациях обновляется материально-техническая база. Ежегодно проводятся текущие ремонты зданий. </w:t>
      </w:r>
      <w:r w:rsidR="00F53912">
        <w:rPr>
          <w:rFonts w:ascii="Times New Roman" w:eastAsia="Courier New" w:hAnsi="Times New Roman" w:cs="Times New Roman"/>
          <w:sz w:val="24"/>
          <w:szCs w:val="24"/>
          <w:lang w:eastAsia="ru-RU"/>
        </w:rPr>
        <w:t>Здание 1 мастерской МБОУ «</w:t>
      </w:r>
      <w:proofErr w:type="spellStart"/>
      <w:r w:rsidR="00F53912">
        <w:rPr>
          <w:rFonts w:ascii="Times New Roman" w:eastAsia="Courier New" w:hAnsi="Times New Roman" w:cs="Times New Roman"/>
          <w:sz w:val="24"/>
          <w:szCs w:val="24"/>
          <w:lang w:eastAsia="ru-RU"/>
        </w:rPr>
        <w:t>Белоевскя</w:t>
      </w:r>
      <w:proofErr w:type="spellEnd"/>
      <w:r w:rsidR="00F5391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СОШ»</w:t>
      </w:r>
      <w:r w:rsidR="00C422A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находится в аварийном состоянии, в настоящее время здание не используется, в 2019 году мастерская будет снесена. </w:t>
      </w:r>
      <w:bookmarkStart w:id="0" w:name="_GoBack"/>
      <w:bookmarkEnd w:id="0"/>
    </w:p>
    <w:p w14:paraId="36E2A3C6" w14:textId="11069B01" w:rsidR="005A3EC6" w:rsidRPr="00C0665A" w:rsidRDefault="002E26BA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94362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</w:t>
      </w:r>
      <w:r w:rsidR="00A22876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Доля детей первой и второй групп здоровья в общей численности</w:t>
      </w:r>
      <w:r w:rsidR="00994362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A22876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обучающихся в муниципальных общеобразовательных учреждениях</w:t>
      </w:r>
      <w:r w:rsidR="00994362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»</w:t>
      </w:r>
    </w:p>
    <w:p w14:paraId="336557DE" w14:textId="77777777" w:rsidR="002E26BA" w:rsidRDefault="002E26BA" w:rsidP="002E26BA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По результатам профилактических медицинских осмотров в 2018 году из 2822 человека выявлено 221 детей первой группы здоровья и 2372 человек - второй группы здоровья. Доля детей первой и второй группы здоровья в общей численности обучающихся в муниципальных общеобразовательных организациях КМР в 2018 году увеличилась по отношению к 2017 г. на 1,8% и составила 91,9%. Рост доли указанных категорий детей является результатом того, что:</w:t>
      </w:r>
    </w:p>
    <w:p w14:paraId="51E8BD9C" w14:textId="77777777" w:rsidR="002E26BA" w:rsidRDefault="002E26BA" w:rsidP="002E26BA">
      <w:pPr>
        <w:widowControl w:val="0"/>
        <w:spacing w:after="0" w:line="240" w:lineRule="auto"/>
        <w:ind w:left="36" w:firstLine="673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1. возросла численность детей, посещающих секции и кружки спортивной направленности;</w:t>
      </w:r>
    </w:p>
    <w:p w14:paraId="68BEDAF8" w14:textId="77777777" w:rsidR="002E26BA" w:rsidRDefault="002E26BA" w:rsidP="002E26B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2. развивается кадетское движение, военно-спортивное направление, которые способствуют здоровому образу жизни.</w:t>
      </w:r>
    </w:p>
    <w:p w14:paraId="25CC0C56" w14:textId="7CE33900" w:rsidR="00994362" w:rsidRPr="00C0665A" w:rsidRDefault="002E26BA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994362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="00994362" w:rsidRPr="00C0665A">
        <w:rPr>
          <w:rFonts w:ascii="Times New Roman" w:hAnsi="Times New Roman" w:cs="Times New Roman"/>
          <w:sz w:val="24"/>
          <w:szCs w:val="24"/>
        </w:rPr>
        <w:t>»</w:t>
      </w:r>
    </w:p>
    <w:p w14:paraId="76BEB07E" w14:textId="4F5F1E8A" w:rsidR="00994362" w:rsidRPr="006E2FF6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FF6">
        <w:rPr>
          <w:rFonts w:ascii="Times New Roman" w:eastAsia="Courier New" w:hAnsi="Times New Roman" w:cs="Times New Roman"/>
          <w:sz w:val="24"/>
          <w:szCs w:val="24"/>
          <w:lang w:eastAsia="ru-RU"/>
        </w:rPr>
        <w:t>Состояние зданий ОО позволяет организовать обучение в одну смену</w:t>
      </w:r>
    </w:p>
    <w:p w14:paraId="023C9451" w14:textId="627EFF30" w:rsidR="00994362" w:rsidRPr="00C0665A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«Расходы бюджета муниципального образования на общее образование в расчете на 1 обучающегося в муниципальных общеобразовательных учреждениях»</w:t>
      </w:r>
    </w:p>
    <w:p w14:paraId="5CA83590" w14:textId="77777777" w:rsidR="006E2FF6" w:rsidRDefault="006E2FF6" w:rsidP="006E2FF6">
      <w:pPr>
        <w:spacing w:after="0" w:line="240" w:lineRule="auto"/>
        <w:ind w:right="96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Расходы бюджета 2018 года муниципального образования на общее образование в расчете на 1 обучающегося в образовательных 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организациях  КМР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составили 126,17 тыс. руб. В сравнении с 2017 годом произошел рост расходов на 33,9% в связи с тем, что в отчетном году по отношению к предыдущему увеличились расходы на обеспечение деятельности образовательных организаций,  на проведение основных медицинских осмотров, на доведение заработной платы до МРОТ.</w:t>
      </w:r>
    </w:p>
    <w:p w14:paraId="3C1BBB24" w14:textId="77777777" w:rsidR="006E2FF6" w:rsidRDefault="006E2FF6" w:rsidP="006E2FF6">
      <w:pPr>
        <w:spacing w:after="0" w:line="240" w:lineRule="auto"/>
        <w:ind w:right="96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планируемый период 2019-2021гг.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показатель будет уменьшаться в связи с оптимизацией расходов на выполнение Дорожной карты. </w:t>
      </w:r>
    </w:p>
    <w:p w14:paraId="2F31C730" w14:textId="0EE72827" w:rsidR="00994362" w:rsidRPr="00C0665A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>«</w:t>
      </w: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</w:r>
    </w:p>
    <w:p w14:paraId="5DED6582" w14:textId="77777777" w:rsidR="006E2FF6" w:rsidRDefault="006E2FF6" w:rsidP="006E2FF6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группы  в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2018 составила 56%. Снижение показателя по отношению к 2017 году составило 13%. В отчетном году был введен персонифицированный учет детей, получающих услуги по дополнительному образованию. Проведен мониторинг результативности деятельности кружков, по результатам которого были выявлены малоэффективные кружки, что привело к уменьшению количества кружков. Часть кружков была переведена во внеурочную деятельность.</w:t>
      </w:r>
    </w:p>
    <w:p w14:paraId="775C0730" w14:textId="77777777" w:rsidR="006E2FF6" w:rsidRDefault="006E2FF6" w:rsidP="006E2FF6">
      <w:pPr>
        <w:widowControl w:val="0"/>
        <w:tabs>
          <w:tab w:val="left" w:pos="709"/>
        </w:tabs>
        <w:spacing w:after="0" w:line="240" w:lineRule="auto"/>
        <w:ind w:right="3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Продолжается работа по нормативным и организационно- экономическим механизмам системы персонифицированного финансирования дополнительного образования в КМР.  Планируется открытие Центра дополнительного образования детей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на базе МАУ «Кувинский загородный лагерь». В последующие годы планируется увеличение общеразвивающих программ дополнительного образования технической направленности.</w:t>
      </w:r>
    </w:p>
    <w:p w14:paraId="023D9150" w14:textId="19AA3005" w:rsidR="00994362" w:rsidRPr="00C0665A" w:rsidRDefault="00994362" w:rsidP="006025C4">
      <w:pPr>
        <w:pStyle w:val="a3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665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Культура</w:t>
      </w:r>
    </w:p>
    <w:p w14:paraId="775C354C" w14:textId="77777777" w:rsidR="00422D7B" w:rsidRDefault="00994362" w:rsidP="00422D7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>«Уровень фактической обеспеченности учреждениями культуры от нормативной потребности: клубами и учреждениями клубного типа, библиотеками, парками культуры и отдыха»</w:t>
      </w:r>
    </w:p>
    <w:p w14:paraId="7FA2E68C" w14:textId="39E91FD1" w:rsidR="00994362" w:rsidRPr="00422D7B" w:rsidRDefault="00994362" w:rsidP="00422D7B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7B">
        <w:rPr>
          <w:rFonts w:ascii="Times New Roman" w:hAnsi="Times New Roman" w:cs="Times New Roman"/>
          <w:sz w:val="24"/>
          <w:szCs w:val="24"/>
        </w:rPr>
        <w:t xml:space="preserve">Полная обеспеченность учреждениями клубного типа, библиотеками в соответствии с нормативами. </w:t>
      </w:r>
      <w:r w:rsidR="00422D7B" w:rsidRPr="00422D7B">
        <w:rPr>
          <w:rFonts w:ascii="Times New Roman" w:hAnsi="Times New Roman" w:cs="Times New Roman"/>
          <w:sz w:val="24"/>
          <w:szCs w:val="24"/>
        </w:rPr>
        <w:t xml:space="preserve">Увеличение показателя на </w:t>
      </w:r>
      <w:r w:rsidR="00422D7B">
        <w:rPr>
          <w:rFonts w:ascii="Times New Roman" w:hAnsi="Times New Roman" w:cs="Times New Roman"/>
          <w:sz w:val="24"/>
          <w:szCs w:val="24"/>
        </w:rPr>
        <w:t>4</w:t>
      </w:r>
      <w:r w:rsidR="00422D7B" w:rsidRPr="00422D7B">
        <w:rPr>
          <w:rFonts w:ascii="Times New Roman" w:hAnsi="Times New Roman" w:cs="Times New Roman"/>
          <w:sz w:val="24"/>
          <w:szCs w:val="24"/>
        </w:rPr>
        <w:t xml:space="preserve">% обусловлено в связи с уменьшением численности постоянного населения. </w:t>
      </w:r>
      <w:r w:rsidRPr="00422D7B">
        <w:rPr>
          <w:rFonts w:ascii="Times New Roman" w:hAnsi="Times New Roman" w:cs="Times New Roman"/>
          <w:sz w:val="24"/>
          <w:szCs w:val="24"/>
        </w:rPr>
        <w:t>На планируемый период 201</w:t>
      </w:r>
      <w:r w:rsidR="00C8733F" w:rsidRPr="00422D7B">
        <w:rPr>
          <w:rFonts w:ascii="Times New Roman" w:hAnsi="Times New Roman" w:cs="Times New Roman"/>
          <w:sz w:val="24"/>
          <w:szCs w:val="24"/>
        </w:rPr>
        <w:t>9</w:t>
      </w:r>
      <w:r w:rsidRPr="00422D7B">
        <w:rPr>
          <w:rFonts w:ascii="Times New Roman" w:hAnsi="Times New Roman" w:cs="Times New Roman"/>
          <w:sz w:val="24"/>
          <w:szCs w:val="24"/>
        </w:rPr>
        <w:t>-202</w:t>
      </w:r>
      <w:r w:rsidR="00C8733F" w:rsidRPr="00422D7B">
        <w:rPr>
          <w:rFonts w:ascii="Times New Roman" w:hAnsi="Times New Roman" w:cs="Times New Roman"/>
          <w:sz w:val="24"/>
          <w:szCs w:val="24"/>
        </w:rPr>
        <w:t>1</w:t>
      </w:r>
      <w:r w:rsidRPr="00422D7B">
        <w:rPr>
          <w:rFonts w:ascii="Times New Roman" w:hAnsi="Times New Roman" w:cs="Times New Roman"/>
          <w:sz w:val="24"/>
          <w:szCs w:val="24"/>
        </w:rPr>
        <w:t xml:space="preserve"> г.</w:t>
      </w:r>
      <w:r w:rsidRPr="00422D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показатель </w:t>
      </w:r>
      <w:r w:rsidR="00C8733F" w:rsidRPr="00422D7B">
        <w:rPr>
          <w:rFonts w:ascii="Times New Roman" w:eastAsia="Courier New" w:hAnsi="Times New Roman" w:cs="Times New Roman"/>
          <w:sz w:val="24"/>
          <w:szCs w:val="24"/>
          <w:lang w:eastAsia="ru-RU"/>
        </w:rPr>
        <w:t>остается неизменным.</w:t>
      </w:r>
      <w:r w:rsidR="000F52B2" w:rsidRPr="00422D7B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14:paraId="0C622B87" w14:textId="30377FAA" w:rsidR="00994362" w:rsidRPr="00C0665A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C0665A">
        <w:rPr>
          <w:rFonts w:ascii="Times New Roman" w:hAnsi="Times New Roman" w:cs="Times New Roman"/>
          <w:sz w:val="24"/>
          <w:szCs w:val="24"/>
        </w:rPr>
        <w:t>»</w:t>
      </w:r>
    </w:p>
    <w:p w14:paraId="5C295C25" w14:textId="78E0FEEF" w:rsidR="00994362" w:rsidRPr="00C8733F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3F">
        <w:rPr>
          <w:rFonts w:ascii="Times New Roman" w:eastAsia="Times New Roman" w:hAnsi="Times New Roman" w:cs="Times New Roman"/>
          <w:sz w:val="24"/>
          <w:szCs w:val="24"/>
        </w:rPr>
        <w:t xml:space="preserve">Здания </w:t>
      </w:r>
      <w:r w:rsidR="00C8733F" w:rsidRPr="00C8733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8733F">
        <w:rPr>
          <w:rFonts w:ascii="Times New Roman" w:eastAsia="Times New Roman" w:hAnsi="Times New Roman" w:cs="Times New Roman"/>
          <w:sz w:val="24"/>
          <w:szCs w:val="24"/>
        </w:rPr>
        <w:t xml:space="preserve"> учреждений культуры из 68 требуют капитального ремонта. В аварийном состоянии 3 здания. Данный показатель </w:t>
      </w:r>
      <w:r w:rsidR="00C8733F" w:rsidRPr="00C8733F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Pr="00C8733F">
        <w:rPr>
          <w:rFonts w:ascii="Times New Roman" w:eastAsia="Times New Roman" w:hAnsi="Times New Roman" w:cs="Times New Roman"/>
          <w:sz w:val="24"/>
          <w:szCs w:val="24"/>
        </w:rPr>
        <w:t xml:space="preserve">, в связи с </w:t>
      </w:r>
      <w:r w:rsidR="00C8733F" w:rsidRPr="00C8733F">
        <w:rPr>
          <w:rFonts w:ascii="Times New Roman" w:eastAsia="Times New Roman" w:hAnsi="Times New Roman" w:cs="Times New Roman"/>
          <w:sz w:val="24"/>
          <w:szCs w:val="24"/>
        </w:rPr>
        <w:t>ухудшением состояния зданий.</w:t>
      </w:r>
      <w:r w:rsidRPr="00C8733F">
        <w:rPr>
          <w:rFonts w:ascii="Times New Roman" w:eastAsia="Courier New" w:hAnsi="Times New Roman" w:cs="Times New Roman"/>
          <w:sz w:val="24"/>
          <w:szCs w:val="24"/>
        </w:rPr>
        <w:t xml:space="preserve"> В прогнозном периоде на 201</w:t>
      </w:r>
      <w:r w:rsidR="00C8733F" w:rsidRPr="00C8733F">
        <w:rPr>
          <w:rFonts w:ascii="Times New Roman" w:eastAsia="Courier New" w:hAnsi="Times New Roman" w:cs="Times New Roman"/>
          <w:sz w:val="24"/>
          <w:szCs w:val="24"/>
        </w:rPr>
        <w:t>9</w:t>
      </w:r>
      <w:r w:rsidRPr="00C8733F">
        <w:rPr>
          <w:rFonts w:ascii="Times New Roman" w:eastAsia="Courier New" w:hAnsi="Times New Roman" w:cs="Times New Roman"/>
          <w:sz w:val="24"/>
          <w:szCs w:val="24"/>
        </w:rPr>
        <w:t>-202</w:t>
      </w:r>
      <w:r w:rsidR="00C8733F" w:rsidRPr="00C8733F">
        <w:rPr>
          <w:rFonts w:ascii="Times New Roman" w:eastAsia="Courier New" w:hAnsi="Times New Roman" w:cs="Times New Roman"/>
          <w:sz w:val="24"/>
          <w:szCs w:val="24"/>
        </w:rPr>
        <w:t>1</w:t>
      </w:r>
      <w:r w:rsidRPr="00C8733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C8733F">
        <w:rPr>
          <w:rFonts w:ascii="Times New Roman" w:eastAsia="Courier New" w:hAnsi="Times New Roman" w:cs="Times New Roman"/>
          <w:sz w:val="24"/>
          <w:szCs w:val="24"/>
        </w:rPr>
        <w:t>годы  показатель</w:t>
      </w:r>
      <w:proofErr w:type="gramEnd"/>
      <w:r w:rsidRPr="00C8733F">
        <w:rPr>
          <w:rFonts w:ascii="Times New Roman" w:eastAsia="Courier New" w:hAnsi="Times New Roman" w:cs="Times New Roman"/>
          <w:sz w:val="24"/>
          <w:szCs w:val="24"/>
        </w:rPr>
        <w:t xml:space="preserve"> остаётся неизменным.</w:t>
      </w:r>
    </w:p>
    <w:p w14:paraId="04BACD4F" w14:textId="6E480A58" w:rsidR="00994362" w:rsidRPr="00C0665A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Pr="00C0665A">
        <w:rPr>
          <w:rFonts w:ascii="Times New Roman" w:hAnsi="Times New Roman" w:cs="Times New Roman"/>
          <w:sz w:val="24"/>
          <w:szCs w:val="24"/>
        </w:rPr>
        <w:t>»</w:t>
      </w:r>
    </w:p>
    <w:p w14:paraId="5CC1CAD4" w14:textId="10FCE4A4" w:rsidR="00994362" w:rsidRPr="00C8733F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8733F">
        <w:rPr>
          <w:rFonts w:ascii="Times New Roman" w:eastAsia="Courier New" w:hAnsi="Times New Roman" w:cs="Times New Roman"/>
          <w:sz w:val="24"/>
          <w:szCs w:val="24"/>
        </w:rPr>
        <w:t xml:space="preserve">В районе – 3 объекта </w:t>
      </w:r>
      <w:proofErr w:type="gramStart"/>
      <w:r w:rsidRPr="00C8733F">
        <w:rPr>
          <w:rFonts w:ascii="Times New Roman" w:eastAsia="Courier New" w:hAnsi="Times New Roman" w:cs="Times New Roman"/>
          <w:sz w:val="24"/>
          <w:szCs w:val="24"/>
        </w:rPr>
        <w:t>культурного  наследия</w:t>
      </w:r>
      <w:proofErr w:type="gramEnd"/>
      <w:r w:rsidRPr="00C8733F">
        <w:rPr>
          <w:rFonts w:ascii="Times New Roman" w:eastAsia="Courier New" w:hAnsi="Times New Roman" w:cs="Times New Roman"/>
          <w:sz w:val="24"/>
          <w:szCs w:val="24"/>
        </w:rPr>
        <w:t>, находящихся в муниципальной собственности, которые не требуют</w:t>
      </w:r>
      <w:r w:rsidRPr="00C8733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консервации или реставрации. </w:t>
      </w:r>
      <w:r w:rsidRPr="00C8733F">
        <w:rPr>
          <w:rFonts w:ascii="Times New Roman" w:eastAsia="Courier New" w:hAnsi="Times New Roman" w:cs="Times New Roman"/>
          <w:sz w:val="24"/>
          <w:szCs w:val="24"/>
        </w:rPr>
        <w:t>В прогнозном периоде на 201</w:t>
      </w:r>
      <w:r w:rsidR="00C8733F" w:rsidRPr="00C8733F">
        <w:rPr>
          <w:rFonts w:ascii="Times New Roman" w:eastAsia="Courier New" w:hAnsi="Times New Roman" w:cs="Times New Roman"/>
          <w:sz w:val="24"/>
          <w:szCs w:val="24"/>
        </w:rPr>
        <w:t>9</w:t>
      </w:r>
      <w:r w:rsidRPr="00C8733F">
        <w:rPr>
          <w:rFonts w:ascii="Times New Roman" w:eastAsia="Courier New" w:hAnsi="Times New Roman" w:cs="Times New Roman"/>
          <w:sz w:val="24"/>
          <w:szCs w:val="24"/>
        </w:rPr>
        <w:t>-202</w:t>
      </w:r>
      <w:r w:rsidR="00C8733F" w:rsidRPr="00C8733F">
        <w:rPr>
          <w:rFonts w:ascii="Times New Roman" w:eastAsia="Courier New" w:hAnsi="Times New Roman" w:cs="Times New Roman"/>
          <w:sz w:val="24"/>
          <w:szCs w:val="24"/>
        </w:rPr>
        <w:t>1</w:t>
      </w:r>
      <w:r w:rsidRPr="00C8733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C8733F">
        <w:rPr>
          <w:rFonts w:ascii="Times New Roman" w:eastAsia="Courier New" w:hAnsi="Times New Roman" w:cs="Times New Roman"/>
          <w:sz w:val="24"/>
          <w:szCs w:val="24"/>
        </w:rPr>
        <w:t>годы  показатель</w:t>
      </w:r>
      <w:proofErr w:type="gramEnd"/>
      <w:r w:rsidRPr="00C8733F">
        <w:rPr>
          <w:rFonts w:ascii="Times New Roman" w:eastAsia="Courier New" w:hAnsi="Times New Roman" w:cs="Times New Roman"/>
          <w:sz w:val="24"/>
          <w:szCs w:val="24"/>
        </w:rPr>
        <w:t xml:space="preserve"> остаётся неизменным.</w:t>
      </w:r>
    </w:p>
    <w:p w14:paraId="3CB85CCE" w14:textId="2EC0DF00" w:rsidR="00994362" w:rsidRPr="00C0665A" w:rsidRDefault="0099436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14:paraId="10101929" w14:textId="1C2B33D7" w:rsidR="00994362" w:rsidRPr="00C0665A" w:rsidRDefault="0099436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населения, систематически занимающегося физической культурой и спортом»</w:t>
      </w:r>
    </w:p>
    <w:p w14:paraId="4A2CE7EE" w14:textId="77777777" w:rsidR="00C8733F" w:rsidRPr="00403CFE" w:rsidRDefault="00C8733F" w:rsidP="00C8733F">
      <w:pPr>
        <w:spacing w:after="0" w:line="240" w:lineRule="auto"/>
        <w:ind w:right="136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3CFE">
        <w:rPr>
          <w:rFonts w:ascii="Times New Roman" w:eastAsia="Courier New" w:hAnsi="Times New Roman" w:cs="Times New Roman"/>
          <w:sz w:val="24"/>
          <w:szCs w:val="24"/>
        </w:rPr>
        <w:t xml:space="preserve">Показатель остался на том же уровне. </w:t>
      </w:r>
    </w:p>
    <w:p w14:paraId="37CA67A8" w14:textId="77777777" w:rsidR="00C8733F" w:rsidRPr="00403CFE" w:rsidRDefault="00C8733F" w:rsidP="00C8733F">
      <w:pPr>
        <w:widowControl w:val="0"/>
        <w:spacing w:after="0" w:line="240" w:lineRule="auto"/>
        <w:ind w:right="130"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3CFE">
        <w:rPr>
          <w:rFonts w:ascii="Times New Roman" w:eastAsia="Courier New" w:hAnsi="Times New Roman" w:cs="Times New Roman"/>
          <w:sz w:val="24"/>
          <w:szCs w:val="24"/>
        </w:rPr>
        <w:t xml:space="preserve">В 2019 году открытие комплексной спортивной площадки (межшкольный стадион) в </w:t>
      </w:r>
      <w:proofErr w:type="spellStart"/>
      <w:r w:rsidRPr="00403CFE">
        <w:rPr>
          <w:rFonts w:ascii="Times New Roman" w:eastAsia="Courier New" w:hAnsi="Times New Roman" w:cs="Times New Roman"/>
          <w:sz w:val="24"/>
          <w:szCs w:val="24"/>
        </w:rPr>
        <w:t>с.Верх</w:t>
      </w:r>
      <w:proofErr w:type="spellEnd"/>
      <w:r w:rsidRPr="00403CFE">
        <w:rPr>
          <w:rFonts w:ascii="Times New Roman" w:eastAsia="Courier New" w:hAnsi="Times New Roman" w:cs="Times New Roman"/>
          <w:sz w:val="24"/>
          <w:szCs w:val="24"/>
        </w:rPr>
        <w:t xml:space="preserve">-Иньва позволит привлекать большее количество населения к занятиям физкультурой и спортом. </w:t>
      </w:r>
    </w:p>
    <w:p w14:paraId="7DF96383" w14:textId="1B76B44C" w:rsidR="00240CD2" w:rsidRPr="00C0665A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0665A">
        <w:rPr>
          <w:rFonts w:ascii="Times New Roman" w:hAnsi="Times New Roman" w:cs="Times New Roman"/>
          <w:sz w:val="24"/>
          <w:szCs w:val="24"/>
        </w:rPr>
        <w:t>23 (1). «</w:t>
      </w: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Доля обучающихся, систематически занимающихся физической культурой и спортом, в общей численности обучающихся»</w:t>
      </w:r>
    </w:p>
    <w:p w14:paraId="0B8D3C4E" w14:textId="0B68598F" w:rsidR="0024436D" w:rsidRPr="00403CFE" w:rsidRDefault="0024436D" w:rsidP="0024436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3CFE">
        <w:rPr>
          <w:rFonts w:ascii="Times New Roman" w:eastAsia="Courier New" w:hAnsi="Times New Roman" w:cs="Times New Roman"/>
          <w:sz w:val="24"/>
          <w:szCs w:val="24"/>
        </w:rPr>
        <w:t xml:space="preserve">Показатель по сравнению с 2017 годом увеличился,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благодаря участию </w:t>
      </w:r>
      <w:r w:rsidR="00D801C5">
        <w:rPr>
          <w:rFonts w:ascii="Times New Roman" w:eastAsia="Courier New" w:hAnsi="Times New Roman" w:cs="Times New Roman"/>
          <w:sz w:val="24"/>
          <w:szCs w:val="24"/>
        </w:rPr>
        <w:t>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енинской и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О</w:t>
      </w:r>
      <w:r w:rsidRPr="00403CFE">
        <w:rPr>
          <w:rFonts w:ascii="Times New Roman" w:eastAsia="Courier New" w:hAnsi="Times New Roman" w:cs="Times New Roman"/>
          <w:sz w:val="24"/>
          <w:szCs w:val="24"/>
        </w:rPr>
        <w:t>шибской</w:t>
      </w:r>
      <w:proofErr w:type="spellEnd"/>
      <w:r w:rsidRPr="00403CFE">
        <w:rPr>
          <w:rFonts w:ascii="Times New Roman" w:eastAsia="Courier New" w:hAnsi="Times New Roman" w:cs="Times New Roman"/>
          <w:sz w:val="24"/>
          <w:szCs w:val="24"/>
        </w:rPr>
        <w:t xml:space="preserve"> общеобразовательных школ в краевом проекте.</w:t>
      </w:r>
    </w:p>
    <w:p w14:paraId="444F423E" w14:textId="77777777" w:rsidR="0024436D" w:rsidRPr="00403CFE" w:rsidRDefault="0024436D" w:rsidP="0024436D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03CFE">
        <w:rPr>
          <w:rFonts w:ascii="Times New Roman" w:eastAsia="Courier New" w:hAnsi="Times New Roman" w:cs="Times New Roman"/>
          <w:sz w:val="24"/>
          <w:szCs w:val="24"/>
        </w:rPr>
        <w:t xml:space="preserve">Для увеличения показателя в районе продолжится проведение информационной работы, </w:t>
      </w:r>
      <w:proofErr w:type="gramStart"/>
      <w:r w:rsidRPr="00403CFE">
        <w:rPr>
          <w:rFonts w:ascii="Times New Roman" w:eastAsia="Courier New" w:hAnsi="Times New Roman" w:cs="Times New Roman"/>
          <w:sz w:val="24"/>
          <w:szCs w:val="24"/>
        </w:rPr>
        <w:t>системы мероприятий</w:t>
      </w:r>
      <w:proofErr w:type="gramEnd"/>
      <w:r w:rsidRPr="00403CFE">
        <w:rPr>
          <w:rFonts w:ascii="Times New Roman" w:eastAsia="Courier New" w:hAnsi="Times New Roman" w:cs="Times New Roman"/>
          <w:sz w:val="24"/>
          <w:szCs w:val="24"/>
        </w:rPr>
        <w:t xml:space="preserve"> направленных на популяризацию спорта, здорового образа жизни.</w:t>
      </w:r>
    </w:p>
    <w:p w14:paraId="124E70CE" w14:textId="664A539E" w:rsidR="00240CD2" w:rsidRPr="00C0665A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0665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Жилищное строительство и обеспечение граждан жильем</w:t>
      </w:r>
    </w:p>
    <w:p w14:paraId="4EA6D7D2" w14:textId="7A87BF41" w:rsidR="00240CD2" w:rsidRPr="00C0665A" w:rsidRDefault="00240CD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«Общая площадь жилых помещений, приходящаяся в среднем на одного жителя, - всего в т.ч. введенная в действие за один год»</w:t>
      </w:r>
    </w:p>
    <w:p w14:paraId="44C11786" w14:textId="68B1C229" w:rsidR="00240CD2" w:rsidRPr="00113152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жилых помещений, приходящаяся </w:t>
      </w:r>
      <w:proofErr w:type="gramStart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жителя</w:t>
      </w:r>
      <w:proofErr w:type="gramEnd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и составляет </w:t>
      </w:r>
      <w:r w:rsidR="00113152"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22,19</w:t>
      </w:r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том числе введенная за год 0,3</w:t>
      </w:r>
      <w:r w:rsidR="00113152"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.. На конец 201</w:t>
      </w:r>
      <w:r w:rsidR="00113152"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общая площадь жилых помещений составила </w:t>
      </w:r>
      <w:r w:rsidR="00113152"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495,2</w:t>
      </w:r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тыс.кв.м</w:t>
      </w:r>
      <w:proofErr w:type="spellEnd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201</w:t>
      </w:r>
      <w:r w:rsidR="00113152"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введено </w:t>
      </w:r>
      <w:r w:rsidR="00113152"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8446</w:t>
      </w:r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13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жилья</w:t>
      </w:r>
      <w:r w:rsidR="00A81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</w:t>
      </w:r>
      <w:r w:rsidR="00422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многоквартирных дома</w:t>
      </w:r>
      <w:r w:rsidR="00A81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EE725C" w14:textId="128DAB96" w:rsidR="00994362" w:rsidRPr="00C0665A" w:rsidRDefault="0011315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 xml:space="preserve"> </w:t>
      </w:r>
      <w:r w:rsidR="00240CD2" w:rsidRPr="00C0665A">
        <w:rPr>
          <w:rFonts w:ascii="Times New Roman" w:hAnsi="Times New Roman" w:cs="Times New Roman"/>
          <w:sz w:val="24"/>
          <w:szCs w:val="24"/>
        </w:rPr>
        <w:t>«Площадь земельных участков, предоставленных для строительства в расчете на 10 тыс. человек населения, - всего: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</w:t>
      </w:r>
    </w:p>
    <w:p w14:paraId="0457580B" w14:textId="77777777" w:rsidR="00113152" w:rsidRDefault="00113152" w:rsidP="00113152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A51C0">
        <w:rPr>
          <w:rFonts w:ascii="Times New Roman" w:eastAsia="Courier New" w:hAnsi="Times New Roman" w:cs="Times New Roman"/>
          <w:sz w:val="24"/>
          <w:szCs w:val="24"/>
          <w:lang w:eastAsia="ru-RU"/>
        </w:rPr>
        <w:t>В 2018 году наблюдается снижение показателя</w:t>
      </w:r>
      <w:r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FA51C0">
        <w:rPr>
          <w:rFonts w:ascii="Times New Roman" w:hAnsi="Times New Roman"/>
          <w:sz w:val="24"/>
          <w:szCs w:val="24"/>
          <w:lang w:eastAsia="ru-RU"/>
        </w:rPr>
        <w:t xml:space="preserve">Уменьшение предоставления участков вызвано тем фактом, что сокращается количество возможных к предоставлению земельных участков, генеральными планами поселений не предусмотрено расширение населенных пунктов и увеличение зоны промышленной застройки. </w:t>
      </w:r>
      <w:r w:rsidRPr="007601D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Предоставлено в 2018 </w:t>
      </w:r>
      <w:r w:rsidRPr="007601DC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году 17,642 га, в т.ч. 16,2368 га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14:paraId="4EAA4FC1" w14:textId="5F33F056" w:rsidR="00240CD2" w:rsidRPr="00C0665A" w:rsidRDefault="003E2DA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 xml:space="preserve"> </w:t>
      </w:r>
      <w:r w:rsidR="00240CD2" w:rsidRPr="00C0665A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14:paraId="366BB659" w14:textId="77777777" w:rsidR="003E2DA1" w:rsidRDefault="003E2DA1" w:rsidP="003E2DA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объектов жилищного строительства - в течение 3 лет – в 2018 г. показатель остался на том же уровне, что и в 2017 г., поскольку все заявителя, оформившие документы на земельные участки, разрешенное использование которых связано с жилищным строительством, обращаются к архитектору за получением разрешения на жилищное строительство.</w:t>
      </w:r>
    </w:p>
    <w:p w14:paraId="5D3F4481" w14:textId="77777777" w:rsidR="003E2DA1" w:rsidRDefault="003E2DA1" w:rsidP="003E2DA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иных объектов капитального строительства - в течение 5 лет» - в 2018 г. данный показатель увеличился на 10282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сравнению с 2017 г. и составил 13282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Увеличение данного показателя вызвано тем фактом, что в основном земельные участки приобретались для ведения лесопромышленной деятельности, в процессе которой на земельных участках возводятся постройки временного характера, которые не требуют получения разрешения на строительство.</w:t>
      </w:r>
    </w:p>
    <w:p w14:paraId="3E5FF84A" w14:textId="41964F4D" w:rsidR="00994362" w:rsidRPr="003E2DA1" w:rsidRDefault="00240CD2" w:rsidP="006025C4">
      <w:pPr>
        <w:pStyle w:val="a3"/>
        <w:widowControl w:val="0"/>
        <w:spacing w:after="0" w:line="240" w:lineRule="auto"/>
        <w:ind w:left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3E2DA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14:paraId="3E6D09ED" w14:textId="4519CC05" w:rsidR="00240CD2" w:rsidRPr="00C0665A" w:rsidRDefault="00240CD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многоквартирных домов, в которых собственники помещений выбрали и реализуют один из способов управления многоквартирными домами»</w:t>
      </w:r>
    </w:p>
    <w:p w14:paraId="36ED3449" w14:textId="1F98DEC6" w:rsidR="00F134E7" w:rsidRPr="00F134E7" w:rsidRDefault="00F134E7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 территории района многоквартирных домов составляет 28. </w:t>
      </w:r>
      <w:r w:rsidR="00240CD2"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>В 201</w:t>
      </w:r>
      <w:r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="00240CD2"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жильцы 3 многоквартирных домов передали управление многоквартирным домом управляющей компании МКУ «Сервисный центр Белоевского сельского поселения»</w:t>
      </w:r>
      <w:r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>, собственниками 2 многоквартирных домов Степановского сельского поселения способ управления не выбран и не определен ОМС на открытом конкурсе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, в связи с подготовкой документов на расселение жильцов данных домов.</w:t>
      </w:r>
    </w:p>
    <w:p w14:paraId="669E50C3" w14:textId="4E8D679A" w:rsidR="00240CD2" w:rsidRPr="00F134E7" w:rsidRDefault="00240CD2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201</w:t>
      </w:r>
      <w:r w:rsidR="00F134E7"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proofErr w:type="gramStart"/>
      <w:r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>202</w:t>
      </w:r>
      <w:r w:rsidR="00F134E7"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>1</w:t>
      </w:r>
      <w:r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годы</w:t>
      </w:r>
      <w:proofErr w:type="gramEnd"/>
      <w:r w:rsidRPr="00F134E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доля многоквартирных домов, которые выбрали и реализуют один из способов управления многоквартирными домами, не изменится.</w:t>
      </w:r>
    </w:p>
    <w:p w14:paraId="7D84DA9B" w14:textId="08AD6D6A" w:rsidR="00240CD2" w:rsidRPr="00C0665A" w:rsidRDefault="00240CD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</w:t>
      </w:r>
    </w:p>
    <w:p w14:paraId="004B1FC7" w14:textId="1E5E9E15" w:rsidR="00240CD2" w:rsidRPr="002259F6" w:rsidRDefault="002259F6" w:rsidP="002259F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kern w:val="24"/>
          <w:sz w:val="24"/>
          <w:szCs w:val="24"/>
          <w:lang w:eastAsia="ru-RU"/>
        </w:rPr>
        <w:t xml:space="preserve">Показатель изменился в связи с закрытием в 2018 году ООО «Радуга». </w:t>
      </w:r>
      <w:r w:rsidRPr="005D0976">
        <w:rPr>
          <w:rFonts w:ascii="Times New Roman" w:eastAsia="Courier New" w:hAnsi="Times New Roman" w:cs="Times New Roman"/>
          <w:sz w:val="24"/>
          <w:szCs w:val="24"/>
          <w:lang w:eastAsia="ru-RU"/>
        </w:rPr>
        <w:t>На планируемый период 2019-2021 годы количество организаций с долей участия субъекта РФ и (или) муниципального района в уставном капитале более 25% не изменится.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kern w:val="24"/>
          <w:sz w:val="24"/>
          <w:szCs w:val="24"/>
          <w:lang w:eastAsia="ru-RU"/>
        </w:rPr>
        <w:t xml:space="preserve">Отсутствует потребность в заключении </w:t>
      </w: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а</w:t>
      </w: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аренды или концессии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, так как в каждом поселении осуществляют деятельность коммунального хозяйства сервисные центры.</w:t>
      </w:r>
      <w:r>
        <w:rPr>
          <w:rFonts w:ascii="Times New Roman" w:eastAsia="Courier New" w:hAnsi="Times New Roman" w:cs="Times New Roman"/>
          <w:kern w:val="24"/>
          <w:sz w:val="24"/>
          <w:szCs w:val="24"/>
          <w:lang w:eastAsia="ru-RU"/>
        </w:rPr>
        <w:t xml:space="preserve"> </w:t>
      </w:r>
    </w:p>
    <w:p w14:paraId="711AA423" w14:textId="48D1F7C9" w:rsidR="00240CD2" w:rsidRPr="00C0665A" w:rsidRDefault="002259F6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4B1A51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</w:t>
      </w:r>
      <w:r w:rsidR="00240CD2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4B1A51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»</w:t>
      </w:r>
    </w:p>
    <w:p w14:paraId="1CFC898D" w14:textId="514857EE" w:rsidR="00221479" w:rsidRPr="007601DC" w:rsidRDefault="00221479" w:rsidP="002214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1DC">
        <w:rPr>
          <w:rFonts w:ascii="Times New Roman" w:eastAsia="Courier New" w:hAnsi="Times New Roman" w:cs="Times New Roman"/>
          <w:sz w:val="24"/>
          <w:szCs w:val="24"/>
          <w:lang w:eastAsia="ru-RU"/>
        </w:rPr>
        <w:t>В связи с ошибочно установленным количеством многоквартирных домов, расположенных на земельных участках, в отношении которых осуществлен государственный кадастровый учет, показатель снизился до 50 %.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(15 домов из 30)</w:t>
      </w:r>
      <w:r w:rsidRPr="007601D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Администрации сельских поселений района принимают меры по постановке на кадастровый учет земельных участков </w:t>
      </w:r>
      <w:proofErr w:type="gramStart"/>
      <w:r w:rsidRPr="007601DC">
        <w:rPr>
          <w:rFonts w:ascii="Times New Roman" w:eastAsia="Courier New" w:hAnsi="Times New Roman" w:cs="Times New Roman"/>
          <w:sz w:val="24"/>
          <w:szCs w:val="24"/>
          <w:lang w:eastAsia="ru-RU"/>
        </w:rPr>
        <w:t>под  многоквартирными</w:t>
      </w:r>
      <w:proofErr w:type="gramEnd"/>
      <w:r w:rsidRPr="007601D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домами.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14:paraId="5EBD7868" w14:textId="1F35A40A" w:rsidR="004B1A51" w:rsidRPr="00C0665A" w:rsidRDefault="00221479" w:rsidP="00221479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4B1A51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«Доля населения, получившего жилые помещения и улучшившего жилищные условия в отчетном году, в общей численности населения, состоящего на учете </w:t>
      </w:r>
      <w:r w:rsidR="004B1A51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в качестве нуждающегося в жилых помещениях</w:t>
      </w:r>
      <w:r w:rsidR="004B1A51" w:rsidRPr="00C0665A">
        <w:rPr>
          <w:rFonts w:ascii="Times New Roman" w:hAnsi="Times New Roman" w:cs="Times New Roman"/>
          <w:sz w:val="24"/>
          <w:szCs w:val="24"/>
        </w:rPr>
        <w:t>»</w:t>
      </w:r>
    </w:p>
    <w:p w14:paraId="5E88D988" w14:textId="62D80864" w:rsidR="004B1A51" w:rsidRPr="00E12772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В 201</w:t>
      </w:r>
      <w:r w:rsidR="00221479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</w:t>
      </w:r>
      <w:r w:rsidR="00221479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263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чел. (за 201</w:t>
      </w:r>
      <w:r w:rsidR="00221479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7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 – </w:t>
      </w:r>
      <w:r w:rsidR="00221479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156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чел.) улучшили жилищные условия по федеральным, региональным и муниципальным программам, в том числе: </w:t>
      </w:r>
    </w:p>
    <w:p w14:paraId="13CBB2B0" w14:textId="285381EF" w:rsidR="004B1A51" w:rsidRPr="00E12772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молодая семья – </w:t>
      </w:r>
      <w:r w:rsidR="00221479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36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семей; </w:t>
      </w:r>
    </w:p>
    <w:p w14:paraId="040E53EE" w14:textId="2E56006F" w:rsidR="004B1A51" w:rsidRPr="00E12772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граждане, молодые семьи и молодые специалисты, проживающие в сельской местности – </w:t>
      </w:r>
      <w:r w:rsidR="00221479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4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семьи; </w:t>
      </w:r>
    </w:p>
    <w:p w14:paraId="577BAF5A" w14:textId="77777777" w:rsidR="004B1A51" w:rsidRPr="00E12772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выехавшие из районов Крайнего Севера – 1 семья; </w:t>
      </w:r>
    </w:p>
    <w:p w14:paraId="0DF5E793" w14:textId="35F74B02" w:rsidR="004B1A51" w:rsidRPr="00E12772" w:rsidRDefault="004B1A51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реабилитированные лица – </w:t>
      </w:r>
      <w:r w:rsidR="00221479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1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семь</w:t>
      </w:r>
      <w:r w:rsidR="00221479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я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14:paraId="0A447ACF" w14:textId="3FE25640" w:rsidR="00221479" w:rsidRPr="00E12772" w:rsidRDefault="00E12772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жилье для молодых учителей – 2 семьи;</w:t>
      </w:r>
    </w:p>
    <w:p w14:paraId="6913ADF7" w14:textId="7E21A33B" w:rsidR="00E12772" w:rsidRPr="00E12772" w:rsidRDefault="00E12772" w:rsidP="006025C4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жилье по договору социального найма – 2 семьи.</w:t>
      </w:r>
    </w:p>
    <w:p w14:paraId="1CDA798B" w14:textId="127BD9C4" w:rsidR="004B1A51" w:rsidRPr="00E12772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Численность граждан, состоящих на учете нуждающихся в улучшении жилищных условий, по состоянию на 01.01.201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г. составила 4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173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человека (01.01.201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г. – 45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43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человека). По сравнению с 201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7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годом показатель 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увеличился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 2,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% и составил 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6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="00E12772"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3</w:t>
      </w: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%. </w:t>
      </w:r>
    </w:p>
    <w:p w14:paraId="2DB7C68E" w14:textId="6968F40B" w:rsidR="004B1A51" w:rsidRPr="00C0665A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Организация муниципального управления</w:t>
      </w:r>
    </w:p>
    <w:p w14:paraId="0A9E5EEC" w14:textId="00C61A72" w:rsidR="004B1A51" w:rsidRPr="00C0665A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C0665A">
        <w:rPr>
          <w:rFonts w:ascii="Times New Roman" w:hAnsi="Times New Roman" w:cs="Times New Roman"/>
          <w:sz w:val="24"/>
          <w:szCs w:val="24"/>
        </w:rPr>
        <w:t>»</w:t>
      </w:r>
    </w:p>
    <w:p w14:paraId="4AF31DAB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Доля налоговых и неналоговых доходов бюджета Кудымкарского муниципального района в сравнении с 2017 годом увеличена на 3%. Рост доходов бюджета района к уровню 2017 года наблюдается по следующим видам доходов:</w:t>
      </w:r>
    </w:p>
    <w:p w14:paraId="6BC5F6BF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- доходы от уплаты акцизов на нефтепродукты 110,9% к поступлениям за 2017 год, причинами роста являются изменения в законодательстве (увеличение норматива зачисления в консолидированный бюджет субъекта) и увеличение объемов реализации данных подакцизных товаров (продукции);</w:t>
      </w:r>
    </w:p>
    <w:p w14:paraId="2497DE1F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- налоги на совокупный доход (ЕНВД, патенты) 101,3% к поступлениям за 2017 год, причиной роста по всем налогам на совокупный доход является увеличение количества плательщиков;</w:t>
      </w:r>
    </w:p>
    <w:p w14:paraId="713111EB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- государственная пошлины 139,9% к поступлениям за 2017 год, причиной роста данных поступлений является увеличение числа обращений граждан за совершением нотариальных действий (специальных разрешений на движение по автомобильным дорогам транспортных средств, осуществляющих перевозки опасных, тяжеловесных и (или) крупногабаритных грузов);</w:t>
      </w:r>
    </w:p>
    <w:p w14:paraId="0289493B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муниципальной собственности 163,0% к поступлениям за 2017 год, причиной роста данных поступлений является поступление задолженности по договорам аренды за прошлые годы и заключение дополнительного договора аренды имущества, заключенного в конце 2018 года;</w:t>
      </w:r>
    </w:p>
    <w:p w14:paraId="67CAFC6D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- платежи при пользовании природными ресурсами 141,7% к поступлениям за 2017 год, причиной роста данных поступлений является оперативная работа надзорных органов в сфере природопользования;</w:t>
      </w:r>
    </w:p>
    <w:p w14:paraId="7142D0F1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- штрафы, санкции, возмещение ущерба - увеличение в 4 раза связано с оперативной претензионной и исковой работой надзорных, контрольных органов, а также администраторов доходов.</w:t>
      </w:r>
    </w:p>
    <w:p w14:paraId="2B569B3F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Показатель за 2018 год рассчитан исходя, из фактических поступлений в бюджет района, показатели на 2019 год и плановый период рассчитан исходя из утвержденных плановых значений на 2019-2021 гг. Из-за нестабильной экономики темп роста налоговых и неналоговых доходов не планируется.</w:t>
      </w:r>
    </w:p>
    <w:p w14:paraId="348E96BB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Муниципальным образованием «Кудымкарский муниципальный район» в части увеличения налоговых и неналоговых доходов проводятся следующие мероприятия:</w:t>
      </w:r>
    </w:p>
    <w:p w14:paraId="5D394B6A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- организована совместная работа надзорных и контрольных органов по выявлению фактов неуплаты НДФЛ по месту нахождения организации и привлечения к уплате НДФЛ по месту осуществления деятельности;</w:t>
      </w:r>
    </w:p>
    <w:p w14:paraId="7A0F0648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- организована совместная работа надзорных и контрольных органов по выявлению фактов осуществления предпринимательской деятельности путем организации рабочих мест без регистрации в установленном порядке с целью привлечения к уплате НДФЛ по месту осуществления деятельности;</w:t>
      </w:r>
    </w:p>
    <w:p w14:paraId="2D710420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развитие налогового потенциала на территории района, в том числе путем выбора оптимальных форм поддержки важных для Кудымкарского муниципального района отраслей экономики, обеспечения стабильности и определенности принимаемых мер налогового стимулирования; </w:t>
      </w:r>
    </w:p>
    <w:p w14:paraId="63B7FECA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осуществление постоянного мониторинга обеспечения своевременного и полного поступления в бюджет Кудымкарского муниципального района налогов, сборов и иных обязательных платежей, и динамики задолженности по налогам; </w:t>
      </w:r>
    </w:p>
    <w:p w14:paraId="24B669F2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реализация комплекса мер для поступления в бюджет Кудымкарского муниципального района неналоговых доходов (доходов от использования и продажи имущества, находящегося в собственности Кудымкарского муниципального района); </w:t>
      </w:r>
    </w:p>
    <w:p w14:paraId="050B253C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повышение эффективности взаимодействия участников бюджетного процесса по улучшению качества администрирования доходов, а также обеспечению эффективного использования инструментов, противодействующих уклонению от уплаты налогов и иных платежей в бюджетную систему Кудымкарского муниципального района; </w:t>
      </w:r>
    </w:p>
    <w:p w14:paraId="17A02ABE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повышение эффективности налоговой системы, обеспечивающей бюджетную устойчивость в среднесрочной и долгосрочной перспективе; </w:t>
      </w:r>
    </w:p>
    <w:p w14:paraId="76947A7C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повышение уровня налоговой культуры и социальной ответственности налогоплательщиков; </w:t>
      </w:r>
    </w:p>
    <w:p w14:paraId="392BE17B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земельных участков и других объектов недвижимости;  </w:t>
      </w:r>
    </w:p>
    <w:p w14:paraId="6375FE07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реализация мероприятий по повышению поступлений налоговых доходов бюджета района и сокращению задолженности по налоговым платежам, в том числе путем активизации деятельности комиссии по легализации доходов при администрации Кудымкарского муниципального района; </w:t>
      </w:r>
    </w:p>
    <w:p w14:paraId="409F4449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оказание поддержки субъектам малого и среднего предпринимательства, создание благоприятных инфраструктурных и налоговых условий для их деятельности, расширение базы экономического роста за счет появления новых предприятий малого бизнеса и, в первую очередь, производственного сектора деятельности; </w:t>
      </w:r>
    </w:p>
    <w:p w14:paraId="33E990AF" w14:textId="595962E2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- оптимальное использование возможностей, предоставляемых Налоговым кодексом Российской Федерации.</w:t>
      </w:r>
    </w:p>
    <w:p w14:paraId="5FE2BB2A" w14:textId="1CCF576B" w:rsidR="004B1A51" w:rsidRPr="00C0665A" w:rsidRDefault="00E12772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4B1A51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стоимости)»</w:t>
      </w:r>
    </w:p>
    <w:p w14:paraId="2D49F184" w14:textId="0E75A2E7" w:rsidR="004B1A51" w:rsidRPr="00E12772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>Организаций муниципальной формы собственности</w:t>
      </w:r>
      <w:proofErr w:type="gramEnd"/>
      <w:r w:rsidRPr="00E1277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находящихся в стадии банкротства в муниципальном районе не имеется.</w:t>
      </w:r>
    </w:p>
    <w:p w14:paraId="4C344701" w14:textId="2D267552" w:rsidR="004B1A51" w:rsidRPr="00C0665A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 xml:space="preserve"> «</w:t>
      </w: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района)»</w:t>
      </w:r>
    </w:p>
    <w:p w14:paraId="376F9DE3" w14:textId="2E5AB4D5" w:rsidR="004B1A51" w:rsidRPr="00E12772" w:rsidRDefault="004B1A51" w:rsidP="006025C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hAnsi="Times New Roman" w:cs="Times New Roman"/>
          <w:sz w:val="24"/>
          <w:szCs w:val="24"/>
        </w:rPr>
        <w:t>Не завершенное строительство отсутствует.</w:t>
      </w:r>
    </w:p>
    <w:p w14:paraId="6FDBAB83" w14:textId="77777777" w:rsidR="004B1A51" w:rsidRPr="00C0665A" w:rsidRDefault="004B1A51" w:rsidP="006025C4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</w:t>
      </w:r>
    </w:p>
    <w:p w14:paraId="3EA1D227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Просроченная кредиторская задолженность по оплате труда (включая начисления на оплату труда) муниципальных учреждений Кудымкарского муниципального района в общем объеме расходов Кудымкарского муниципального района на оплату труда (включая начисления на оплату труда) отсутствует.</w:t>
      </w:r>
    </w:p>
    <w:p w14:paraId="6107FE54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7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постоянной основе принимаются меры к недопущению просроченной кредиторской задолженности по оплате труда (включая начисления на оплату труда) </w:t>
      </w:r>
      <w:r w:rsidRPr="00E127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муниципальных учреждений на постоянной основе.</w:t>
      </w:r>
    </w:p>
    <w:p w14:paraId="37D8087F" w14:textId="0AB4C665" w:rsidR="004B1A51" w:rsidRPr="00C0665A" w:rsidRDefault="00E12772" w:rsidP="00E1277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4B1A51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4B1A51" w:rsidRPr="00C0665A">
        <w:rPr>
          <w:rFonts w:ascii="Times New Roman" w:hAnsi="Times New Roman" w:cs="Times New Roman"/>
          <w:sz w:val="24"/>
          <w:szCs w:val="24"/>
        </w:rPr>
        <w:t>»</w:t>
      </w:r>
    </w:p>
    <w:p w14:paraId="0BAEA909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1277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Расходы на содержание работников органов местного самоуправления Кудымкарского муниципального района в расчете на одного жителя муниципального образования возрастают в связи с тем, что уменьшается численность населения.</w:t>
      </w:r>
    </w:p>
    <w:p w14:paraId="46976A54" w14:textId="77777777" w:rsidR="00E12772" w:rsidRPr="00E12772" w:rsidRDefault="00E12772" w:rsidP="00E1277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органов местного самоуправления за 2018 год произведены в соответствии с постановлением Правительства Пермского края от 01.11.2017 № 881-п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Пермского края на 2018 год и на плановый период 2019-2020 годов» и не противоречат ему.</w:t>
      </w:r>
    </w:p>
    <w:p w14:paraId="2FABEA70" w14:textId="39D6EADD" w:rsidR="004B1A51" w:rsidRPr="00C0665A" w:rsidRDefault="00E12772" w:rsidP="00E1277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4B1A51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района)»</w:t>
      </w:r>
    </w:p>
    <w:p w14:paraId="6EE3362D" w14:textId="5BD96AFF" w:rsidR="004B1A51" w:rsidRPr="00D801C5" w:rsidRDefault="004B1A51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C5">
        <w:rPr>
          <w:rFonts w:ascii="Times New Roman" w:eastAsia="Courier New" w:hAnsi="Times New Roman" w:cs="Times New Roman"/>
          <w:sz w:val="24"/>
          <w:szCs w:val="24"/>
          <w:lang w:eastAsia="ru-RU"/>
        </w:rPr>
        <w:t>Схема территориального планирования муниципального района утверждена решением Земского Собрания Кудымкарского муниципального района №55 от 22.10.2009 года, в которое вносятся изменения при необходимости.</w:t>
      </w:r>
    </w:p>
    <w:p w14:paraId="6B070B4F" w14:textId="6A37887A" w:rsidR="004B1A51" w:rsidRPr="00C0665A" w:rsidRDefault="004B1A51" w:rsidP="00E1277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 xml:space="preserve"> «</w:t>
      </w: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Удовлетворенность населения деятельностью органов местного самоуправления городского округа (муниципального района)»</w:t>
      </w:r>
    </w:p>
    <w:p w14:paraId="108A6F15" w14:textId="77777777" w:rsidR="00FB3DE3" w:rsidRPr="00FB3DE3" w:rsidRDefault="00FB3DE3" w:rsidP="00FB3D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E3">
        <w:rPr>
          <w:rFonts w:ascii="Times New Roman" w:hAnsi="Times New Roman" w:cs="Times New Roman"/>
          <w:sz w:val="24"/>
          <w:szCs w:val="24"/>
        </w:rPr>
        <w:t>Уровень удовлетворенности населения деятельностью органов местного самоуправления муниципального района увеличился с 14,35 % в 2017 году до 22, 2 % в 2018 году.</w:t>
      </w:r>
    </w:p>
    <w:p w14:paraId="4F21A4E1" w14:textId="77777777" w:rsidR="00FB3DE3" w:rsidRPr="00FB3DE3" w:rsidRDefault="00FB3DE3" w:rsidP="00FB3D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E3">
        <w:rPr>
          <w:rFonts w:ascii="Times New Roman" w:hAnsi="Times New Roman" w:cs="Times New Roman"/>
          <w:sz w:val="24"/>
          <w:szCs w:val="24"/>
        </w:rPr>
        <w:t xml:space="preserve">Для повышения показателя проводятся оценка деятельности сельских поселений, информационные встречи главы района с населением, организуется прием граждан главой и руководителями отраслевых (функциональных) органов, учреждений администрации района, анализируются данные сайта по оценке качества муниципальных услуг. </w:t>
      </w:r>
    </w:p>
    <w:p w14:paraId="58BF2008" w14:textId="77777777" w:rsidR="00FB3DE3" w:rsidRPr="00FB3DE3" w:rsidRDefault="00FB3DE3" w:rsidP="00FB3D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DE3">
        <w:rPr>
          <w:rFonts w:ascii="Times New Roman" w:hAnsi="Times New Roman" w:cs="Times New Roman"/>
          <w:sz w:val="24"/>
          <w:szCs w:val="24"/>
        </w:rPr>
        <w:t>С целью информирования населения о деятельности ОМСУ, выходит еженедельная газета «Иньвенский край», вместе с этим новости размещаются на официальном сайте администрации Кудымкарского муниципального района, ведется официальная страница в социальной сети «</w:t>
      </w:r>
      <w:proofErr w:type="spellStart"/>
      <w:r w:rsidRPr="00FB3DE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B3DE3">
        <w:rPr>
          <w:rFonts w:ascii="Times New Roman" w:hAnsi="Times New Roman" w:cs="Times New Roman"/>
          <w:sz w:val="24"/>
          <w:szCs w:val="24"/>
        </w:rPr>
        <w:t>».</w:t>
      </w:r>
    </w:p>
    <w:p w14:paraId="736DE540" w14:textId="06EA6846" w:rsidR="00947161" w:rsidRPr="00C0665A" w:rsidRDefault="00FB3DE3" w:rsidP="00E12772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6025C4"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«Среднегодовая численность постоянного населения</w:t>
      </w:r>
      <w:r w:rsidR="006025C4" w:rsidRPr="00C0665A">
        <w:rPr>
          <w:rFonts w:ascii="Times New Roman" w:hAnsi="Times New Roman" w:cs="Times New Roman"/>
          <w:sz w:val="24"/>
          <w:szCs w:val="24"/>
        </w:rPr>
        <w:t>»</w:t>
      </w:r>
    </w:p>
    <w:p w14:paraId="14C19DBA" w14:textId="6433E60F" w:rsidR="006025C4" w:rsidRPr="00FB3DE3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B3DE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Среднегодовая численность постоянного </w:t>
      </w:r>
      <w:proofErr w:type="gramStart"/>
      <w:r w:rsidRPr="00FB3DE3">
        <w:rPr>
          <w:rFonts w:ascii="Times New Roman" w:eastAsia="Courier New" w:hAnsi="Times New Roman" w:cs="Times New Roman"/>
          <w:sz w:val="24"/>
          <w:szCs w:val="24"/>
          <w:lang w:eastAsia="ru-RU"/>
        </w:rPr>
        <w:t>населения  за</w:t>
      </w:r>
      <w:proofErr w:type="gramEnd"/>
      <w:r w:rsidRPr="00FB3DE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201</w:t>
      </w:r>
      <w:r w:rsidR="00FB3DE3" w:rsidRPr="00FB3DE3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FB3DE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 составила 22,</w:t>
      </w:r>
      <w:r w:rsidR="00FB3DE3" w:rsidRPr="00FB3DE3">
        <w:rPr>
          <w:rFonts w:ascii="Times New Roman" w:eastAsia="Courier New" w:hAnsi="Times New Roman" w:cs="Times New Roman"/>
          <w:sz w:val="24"/>
          <w:szCs w:val="24"/>
          <w:lang w:eastAsia="ru-RU"/>
        </w:rPr>
        <w:t>319</w:t>
      </w:r>
      <w:r w:rsidRPr="00FB3DE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тыс. чел. Численность населения сокращается, так как в районе наблюдается миграционный отток и естественная убыль населения. Для стабилизации численности населения муниципального образования ведется работа над созданием комфортной среды проживания: развитие инфраструктуры, социальной сферы, реализация программ по обеспечению жильем.</w:t>
      </w:r>
    </w:p>
    <w:p w14:paraId="050E3F57" w14:textId="4C936E11" w:rsidR="006025C4" w:rsidRPr="00C0665A" w:rsidRDefault="006025C4" w:rsidP="006025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</w:p>
    <w:p w14:paraId="35AED81B" w14:textId="1E7C03BC" w:rsidR="006025C4" w:rsidRPr="00C0665A" w:rsidRDefault="006025C4" w:rsidP="000548B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hAnsi="Times New Roman" w:cs="Times New Roman"/>
          <w:sz w:val="24"/>
          <w:szCs w:val="24"/>
        </w:rPr>
        <w:t xml:space="preserve"> «</w:t>
      </w: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Удельная величина потребления энергетических ресурсов в многоквартирных домах» </w:t>
      </w:r>
    </w:p>
    <w:p w14:paraId="16A8090F" w14:textId="03C50146" w:rsidR="006025C4" w:rsidRPr="00C0665A" w:rsidRDefault="006025C4" w:rsidP="006025C4">
      <w:pPr>
        <w:pStyle w:val="a3"/>
        <w:widowControl w:val="0"/>
        <w:tabs>
          <w:tab w:val="left" w:pos="38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1077">
        <w:rPr>
          <w:rFonts w:ascii="Times New Roman" w:hAnsi="Times New Roman" w:cs="Times New Roman"/>
          <w:sz w:val="24"/>
          <w:szCs w:val="24"/>
        </w:rPr>
        <w:t xml:space="preserve">По </w:t>
      </w:r>
      <w:r w:rsidRPr="00E91077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  <w:r w:rsidRPr="00E91077">
        <w:rPr>
          <w:rFonts w:ascii="Times New Roman" w:hAnsi="Times New Roman" w:cs="Times New Roman"/>
          <w:sz w:val="24"/>
          <w:szCs w:val="24"/>
        </w:rPr>
        <w:t xml:space="preserve"> </w:t>
      </w:r>
      <w:r w:rsidR="00055268">
        <w:rPr>
          <w:rFonts w:ascii="Times New Roman" w:hAnsi="Times New Roman" w:cs="Times New Roman"/>
          <w:sz w:val="24"/>
          <w:szCs w:val="24"/>
        </w:rPr>
        <w:t>значение показателя</w:t>
      </w:r>
      <w:r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за 201</w:t>
      </w:r>
      <w:r w:rsidR="00D801C5"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 </w:t>
      </w:r>
      <w:r w:rsidR="000552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рассчитано в соответствии с данными, полученными от ресурсоснабжающей организации ПАО «Пермэнергосбыт». </w:t>
      </w:r>
      <w:r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>В 201</w:t>
      </w:r>
      <w:r w:rsidR="00EA4306"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г. – </w:t>
      </w:r>
      <w:r w:rsidR="00E91077"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>362333,7</w:t>
      </w:r>
      <w:r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кВт/ч, количество проживающих в многоквартирных домах – </w:t>
      </w:r>
      <w:r w:rsidR="00E91077"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>5</w:t>
      </w:r>
      <w:r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>0</w:t>
      </w:r>
      <w:r w:rsidR="00E91077"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>7</w:t>
      </w:r>
      <w:r w:rsidRPr="00E9107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чел. </w:t>
      </w:r>
      <w:r w:rsidRPr="00055268">
        <w:rPr>
          <w:rFonts w:ascii="Times New Roman" w:eastAsia="Courier New" w:hAnsi="Times New Roman" w:cs="Times New Roman"/>
          <w:sz w:val="24"/>
          <w:szCs w:val="24"/>
          <w:lang w:eastAsia="ru-RU"/>
        </w:rPr>
        <w:t>Наблюдается у</w:t>
      </w:r>
      <w:r w:rsidR="00E91077" w:rsidRPr="00055268">
        <w:rPr>
          <w:rFonts w:ascii="Times New Roman" w:eastAsia="Courier New" w:hAnsi="Times New Roman" w:cs="Times New Roman"/>
          <w:sz w:val="24"/>
          <w:szCs w:val="24"/>
          <w:lang w:eastAsia="ru-RU"/>
        </w:rPr>
        <w:t>меньшение</w:t>
      </w:r>
      <w:r w:rsidRPr="000552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потребления ресурса, которое связано с </w:t>
      </w:r>
      <w:r w:rsidR="009173EB">
        <w:rPr>
          <w:rFonts w:ascii="Times New Roman" w:eastAsia="Courier New" w:hAnsi="Times New Roman" w:cs="Times New Roman"/>
          <w:sz w:val="24"/>
          <w:szCs w:val="24"/>
          <w:lang w:eastAsia="ru-RU"/>
        </w:rPr>
        <w:t>приобретением</w:t>
      </w:r>
      <w:r w:rsidR="00055268" w:rsidRPr="000552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энергосберегающих электроприборов, ламп. </w:t>
      </w:r>
    </w:p>
    <w:p w14:paraId="37BC69A8" w14:textId="7518EBDD" w:rsidR="006025C4" w:rsidRPr="00876D09" w:rsidRDefault="006025C4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76D09">
        <w:rPr>
          <w:rFonts w:ascii="Times New Roman" w:hAnsi="Times New Roman" w:cs="Times New Roman"/>
          <w:sz w:val="24"/>
          <w:szCs w:val="24"/>
        </w:rPr>
        <w:t xml:space="preserve">По </w:t>
      </w:r>
      <w:r w:rsidRPr="00876D09">
        <w:rPr>
          <w:rFonts w:ascii="Times New Roman" w:hAnsi="Times New Roman" w:cs="Times New Roman"/>
          <w:b/>
          <w:sz w:val="24"/>
          <w:szCs w:val="24"/>
        </w:rPr>
        <w:t>тепловой энергии</w:t>
      </w:r>
      <w:r w:rsidRPr="00876D09">
        <w:rPr>
          <w:rFonts w:ascii="Times New Roman" w:hAnsi="Times New Roman" w:cs="Times New Roman"/>
          <w:sz w:val="24"/>
          <w:szCs w:val="24"/>
        </w:rPr>
        <w:t xml:space="preserve"> 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показатель в 201</w:t>
      </w:r>
      <w:r w:rsidR="00E91077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</w:t>
      </w:r>
      <w:r w:rsidR="0005526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остался на прежнем уровне и 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составил 0,13 Гкал. На 201</w:t>
      </w:r>
      <w:r w:rsidR="00E91077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-202</w:t>
      </w:r>
      <w:r w:rsidR="00E91077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1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гг. показатель планируется на уровне 201</w:t>
      </w:r>
      <w:r w:rsidR="00E91077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года.</w:t>
      </w:r>
    </w:p>
    <w:p w14:paraId="6F7EF391" w14:textId="357A373B" w:rsidR="006025C4" w:rsidRPr="007F3986" w:rsidRDefault="006025C4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F398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Горячее водоснабжение</w:t>
      </w:r>
      <w:r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районе отсутствует.</w:t>
      </w:r>
    </w:p>
    <w:p w14:paraId="384993B7" w14:textId="77777777" w:rsidR="007F3986" w:rsidRPr="007F3986" w:rsidRDefault="007F3986" w:rsidP="007F3986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За 2017 год объем потребления </w:t>
      </w:r>
      <w:r w:rsidRPr="007F3986">
        <w:rPr>
          <w:rFonts w:ascii="Times New Roman" w:eastAsia="Calibri" w:hAnsi="Times New Roman" w:cs="Times New Roman"/>
          <w:b/>
          <w:sz w:val="24"/>
          <w:szCs w:val="24"/>
        </w:rPr>
        <w:t>холодной воды</w:t>
      </w:r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 в многоквартирных домах составил </w:t>
      </w:r>
      <w:r w:rsidRPr="007F39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10597,9 </w:t>
      </w:r>
      <w:proofErr w:type="spellStart"/>
      <w:r w:rsidRPr="007F3986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., количество проживающих на 31.12.2017 г. – 404 чел. За 2018 год – 10247,04 </w:t>
      </w:r>
      <w:proofErr w:type="spellStart"/>
      <w:r w:rsidRPr="007F3986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., количество проживающих на 31.12.2018 г. – 507 чел. </w:t>
      </w:r>
    </w:p>
    <w:p w14:paraId="2E0F16C2" w14:textId="56ED75C1" w:rsidR="006025C4" w:rsidRPr="00876D09" w:rsidRDefault="006025C4" w:rsidP="006025C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>В 201</w:t>
      </w:r>
      <w:r w:rsidR="00876D09"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</w:t>
      </w:r>
      <w:r w:rsidRPr="007F3986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природный газ</w:t>
      </w:r>
      <w:r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использ</w:t>
      </w:r>
      <w:r w:rsidR="00876D09"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овался </w:t>
      </w:r>
      <w:r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>в 3</w:t>
      </w:r>
      <w:r w:rsidR="00876D09"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>3</w:t>
      </w:r>
      <w:r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многоквартирн</w:t>
      </w:r>
      <w:r w:rsidR="00876D09"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>ых</w:t>
      </w:r>
      <w:r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дом</w:t>
      </w:r>
      <w:r w:rsidR="00876D09"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>ах</w:t>
      </w:r>
      <w:r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>. В 201</w:t>
      </w:r>
      <w:r w:rsidR="00876D09" w:rsidRPr="007F3986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объем потребления природного газа – </w:t>
      </w:r>
      <w:r w:rsidR="00876D09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69</w:t>
      </w:r>
      <w:r w:rsidR="006A6B1F">
        <w:rPr>
          <w:rFonts w:ascii="Times New Roman" w:eastAsia="Courier New" w:hAnsi="Times New Roman" w:cs="Times New Roman"/>
          <w:sz w:val="24"/>
          <w:szCs w:val="24"/>
          <w:lang w:eastAsia="ru-RU"/>
        </w:rPr>
        <w:t>9</w:t>
      </w:r>
      <w:r w:rsidR="00876D09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92,765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куб.м</w:t>
      </w:r>
      <w:proofErr w:type="spellEnd"/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. (в 201</w:t>
      </w:r>
      <w:r w:rsidR="00876D09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7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– 66</w:t>
      </w:r>
      <w:r w:rsidR="00876D09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462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куб.м</w:t>
      </w:r>
      <w:proofErr w:type="spellEnd"/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.), количество проживающих, которым отпущен газ – </w:t>
      </w:r>
      <w:r w:rsidR="00876D09"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>88</w:t>
      </w:r>
      <w:r w:rsidRPr="00876D0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чел.</w:t>
      </w:r>
    </w:p>
    <w:p w14:paraId="7739E777" w14:textId="54236E93" w:rsidR="006025C4" w:rsidRPr="00C0665A" w:rsidRDefault="006025C4" w:rsidP="00055268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5A">
        <w:rPr>
          <w:rFonts w:ascii="Times New Roman" w:eastAsia="Courier New" w:hAnsi="Times New Roman" w:cs="Times New Roman"/>
          <w:sz w:val="24"/>
          <w:szCs w:val="24"/>
          <w:lang w:eastAsia="ru-RU"/>
        </w:rPr>
        <w:t>«Удельная величина потребления энергетических ресурсов муниципальными бюджетными учреждениями»</w:t>
      </w:r>
    </w:p>
    <w:p w14:paraId="4FC1BE25" w14:textId="50508ACB" w:rsidR="006025C4" w:rsidRPr="00CD18E2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D18E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Показатель </w:t>
      </w:r>
      <w:r w:rsidRPr="00CD18E2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электрической энергии</w:t>
      </w:r>
      <w:r w:rsidRPr="00CD18E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формируется в соответствии с оперативными данными о фактическом потреблении бюджетными учреждениями электрической энергии, незначительное увеличение показателя в 201</w:t>
      </w:r>
      <w:r w:rsidR="00CD18E2" w:rsidRPr="00CD18E2">
        <w:rPr>
          <w:rFonts w:ascii="Times New Roman" w:eastAsia="Courier New" w:hAnsi="Times New Roman" w:cs="Times New Roman"/>
          <w:sz w:val="24"/>
          <w:szCs w:val="24"/>
          <w:lang w:eastAsia="ru-RU"/>
        </w:rPr>
        <w:t>8</w:t>
      </w:r>
      <w:r w:rsidRPr="00CD18E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году обусловлено с проведением работ по завершению строительства универсального спортивного зала в с. Ленинск.</w:t>
      </w:r>
    </w:p>
    <w:p w14:paraId="4263F335" w14:textId="6C0D9482" w:rsidR="006025C4" w:rsidRPr="00CD18E2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CD18E2">
        <w:rPr>
          <w:rFonts w:ascii="Times New Roman" w:eastAsia="Courier New" w:hAnsi="Times New Roman" w:cs="Times New Roman"/>
          <w:sz w:val="24"/>
          <w:szCs w:val="24"/>
        </w:rPr>
        <w:t xml:space="preserve">Удельная величина потребления </w:t>
      </w:r>
      <w:r w:rsidRPr="00CD18E2">
        <w:rPr>
          <w:rFonts w:ascii="Times New Roman" w:eastAsia="Courier New" w:hAnsi="Times New Roman" w:cs="Times New Roman"/>
          <w:b/>
          <w:sz w:val="24"/>
          <w:szCs w:val="24"/>
        </w:rPr>
        <w:t>тепловой энергии</w:t>
      </w:r>
      <w:r w:rsidRPr="00CD18E2">
        <w:rPr>
          <w:rFonts w:ascii="Times New Roman" w:eastAsia="Courier New" w:hAnsi="Times New Roman" w:cs="Times New Roman"/>
          <w:sz w:val="24"/>
          <w:szCs w:val="24"/>
        </w:rPr>
        <w:t xml:space="preserve"> муниципальным бюджетным учреждением в 201</w:t>
      </w:r>
      <w:r w:rsidR="00CD18E2" w:rsidRPr="00CD18E2">
        <w:rPr>
          <w:rFonts w:ascii="Times New Roman" w:eastAsia="Courier New" w:hAnsi="Times New Roman" w:cs="Times New Roman"/>
          <w:sz w:val="24"/>
          <w:szCs w:val="24"/>
        </w:rPr>
        <w:t>8</w:t>
      </w:r>
      <w:r w:rsidRPr="00CD18E2">
        <w:rPr>
          <w:rFonts w:ascii="Times New Roman" w:eastAsia="Courier New" w:hAnsi="Times New Roman" w:cs="Times New Roman"/>
          <w:sz w:val="24"/>
          <w:szCs w:val="24"/>
        </w:rPr>
        <w:t xml:space="preserve"> году составила 0,</w:t>
      </w:r>
      <w:r w:rsidR="00CD18E2" w:rsidRPr="00CD18E2">
        <w:rPr>
          <w:rFonts w:ascii="Times New Roman" w:eastAsia="Courier New" w:hAnsi="Times New Roman" w:cs="Times New Roman"/>
          <w:sz w:val="24"/>
          <w:szCs w:val="24"/>
        </w:rPr>
        <w:t>16</w:t>
      </w:r>
      <w:r w:rsidRPr="00CD18E2">
        <w:rPr>
          <w:rFonts w:ascii="Times New Roman" w:eastAsia="Courier New" w:hAnsi="Times New Roman" w:cs="Times New Roman"/>
          <w:sz w:val="24"/>
          <w:szCs w:val="24"/>
        </w:rPr>
        <w:t xml:space="preserve"> Гкал на </w:t>
      </w:r>
      <w:proofErr w:type="spellStart"/>
      <w:r w:rsidRPr="00CD18E2">
        <w:rPr>
          <w:rFonts w:ascii="Times New Roman" w:eastAsia="Courier New" w:hAnsi="Times New Roman" w:cs="Times New Roman"/>
          <w:sz w:val="24"/>
          <w:szCs w:val="24"/>
        </w:rPr>
        <w:t>кв.м</w:t>
      </w:r>
      <w:proofErr w:type="spellEnd"/>
      <w:r w:rsidRPr="00CD18E2">
        <w:rPr>
          <w:rFonts w:ascii="Times New Roman" w:eastAsia="Courier New" w:hAnsi="Times New Roman" w:cs="Times New Roman"/>
          <w:sz w:val="24"/>
          <w:szCs w:val="24"/>
        </w:rPr>
        <w:t>. общей площади.</w:t>
      </w:r>
      <w:r w:rsidRPr="00CD18E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Показатель формируется в соответствии с оперативными данными о фактическом потреблении бюджетными учреждениями тепловой энергии.</w:t>
      </w:r>
      <w:r w:rsidRPr="00CD18E2">
        <w:rPr>
          <w:rFonts w:ascii="Times New Roman" w:eastAsia="Courier New" w:hAnsi="Times New Roman" w:cs="Times New Roman"/>
          <w:sz w:val="24"/>
          <w:szCs w:val="24"/>
        </w:rPr>
        <w:t xml:space="preserve"> На период 201</w:t>
      </w:r>
      <w:r w:rsidR="00CD18E2" w:rsidRPr="00CD18E2">
        <w:rPr>
          <w:rFonts w:ascii="Times New Roman" w:eastAsia="Courier New" w:hAnsi="Times New Roman" w:cs="Times New Roman"/>
          <w:sz w:val="24"/>
          <w:szCs w:val="24"/>
        </w:rPr>
        <w:t>9</w:t>
      </w:r>
      <w:r w:rsidRPr="00CD18E2">
        <w:rPr>
          <w:rFonts w:ascii="Times New Roman" w:eastAsia="Courier New" w:hAnsi="Times New Roman" w:cs="Times New Roman"/>
          <w:sz w:val="24"/>
          <w:szCs w:val="24"/>
        </w:rPr>
        <w:t>-202</w:t>
      </w:r>
      <w:r w:rsidR="00CD18E2" w:rsidRPr="00CD18E2">
        <w:rPr>
          <w:rFonts w:ascii="Times New Roman" w:eastAsia="Courier New" w:hAnsi="Times New Roman" w:cs="Times New Roman"/>
          <w:sz w:val="24"/>
          <w:szCs w:val="24"/>
        </w:rPr>
        <w:t>1</w:t>
      </w:r>
      <w:r w:rsidRPr="00CD18E2">
        <w:rPr>
          <w:rFonts w:ascii="Times New Roman" w:eastAsia="Courier New" w:hAnsi="Times New Roman" w:cs="Times New Roman"/>
          <w:sz w:val="24"/>
          <w:szCs w:val="24"/>
        </w:rPr>
        <w:t xml:space="preserve"> гг. ожидается сохранение данной величины.</w:t>
      </w:r>
    </w:p>
    <w:p w14:paraId="5FE5CE9B" w14:textId="4B2BC612" w:rsidR="006025C4" w:rsidRPr="00FB3DE3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B3DE3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Горячее водоснабжение</w:t>
      </w:r>
      <w:r w:rsidRPr="00FB3DE3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районе отсутствует.</w:t>
      </w:r>
    </w:p>
    <w:p w14:paraId="4B23FCBC" w14:textId="566E796E" w:rsidR="0050341A" w:rsidRPr="00B95874" w:rsidRDefault="0050341A" w:rsidP="00B9587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За 2017 год объем потребления </w:t>
      </w:r>
      <w:r w:rsidRPr="007F3986">
        <w:rPr>
          <w:rFonts w:ascii="Times New Roman" w:eastAsia="Calibri" w:hAnsi="Times New Roman" w:cs="Times New Roman"/>
          <w:b/>
          <w:sz w:val="24"/>
          <w:szCs w:val="24"/>
        </w:rPr>
        <w:t>холодной воды</w:t>
      </w:r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муниципальными бюджетными учреждениями </w:t>
      </w:r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>
        <w:rPr>
          <w:rFonts w:ascii="Times New Roman" w:eastAsia="Calibri" w:hAnsi="Times New Roman" w:cs="Times New Roman"/>
          <w:sz w:val="24"/>
          <w:szCs w:val="24"/>
        </w:rPr>
        <w:t>56608,5</w:t>
      </w:r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86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F398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За 2018 год – </w:t>
      </w:r>
      <w:r>
        <w:rPr>
          <w:rFonts w:ascii="Times New Roman" w:eastAsia="Calibri" w:hAnsi="Times New Roman" w:cs="Times New Roman"/>
          <w:sz w:val="24"/>
          <w:szCs w:val="24"/>
        </w:rPr>
        <w:t>53256,01</w:t>
      </w:r>
      <w:r w:rsidRPr="007F3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986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Pr="007F3986">
        <w:rPr>
          <w:rFonts w:ascii="Times New Roman" w:eastAsia="Calibri" w:hAnsi="Times New Roman" w:cs="Times New Roman"/>
          <w:sz w:val="24"/>
          <w:szCs w:val="24"/>
        </w:rPr>
        <w:t>.</w:t>
      </w:r>
      <w:r w:rsidR="00536E31" w:rsidRPr="00536E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536E31" w:rsidRPr="006D3C82">
        <w:rPr>
          <w:rFonts w:ascii="Times New Roman" w:eastAsia="Courier New" w:hAnsi="Times New Roman" w:cs="Times New Roman"/>
          <w:sz w:val="24"/>
          <w:szCs w:val="24"/>
        </w:rPr>
        <w:t>На период 2019-2021 гг. ожидается сохранение данной величины.</w:t>
      </w:r>
    </w:p>
    <w:p w14:paraId="150864FB" w14:textId="0DE8BEAF" w:rsidR="006025C4" w:rsidRPr="006D3C82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D3C82">
        <w:rPr>
          <w:rFonts w:ascii="Times New Roman" w:eastAsia="Courier New" w:hAnsi="Times New Roman" w:cs="Times New Roman"/>
          <w:sz w:val="24"/>
          <w:szCs w:val="24"/>
        </w:rPr>
        <w:t xml:space="preserve">Удельная величина потребления </w:t>
      </w:r>
      <w:r w:rsidRPr="006D3C82">
        <w:rPr>
          <w:rFonts w:ascii="Times New Roman" w:eastAsia="Courier New" w:hAnsi="Times New Roman" w:cs="Times New Roman"/>
          <w:b/>
          <w:sz w:val="24"/>
          <w:szCs w:val="24"/>
        </w:rPr>
        <w:t>природного газа</w:t>
      </w:r>
      <w:r w:rsidRPr="006D3C82">
        <w:rPr>
          <w:rFonts w:ascii="Times New Roman" w:eastAsia="Courier New" w:hAnsi="Times New Roman" w:cs="Times New Roman"/>
          <w:sz w:val="24"/>
          <w:szCs w:val="24"/>
        </w:rPr>
        <w:t xml:space="preserve"> в 201</w:t>
      </w:r>
      <w:r w:rsidR="00CD18E2" w:rsidRPr="006D3C82">
        <w:rPr>
          <w:rFonts w:ascii="Times New Roman" w:eastAsia="Courier New" w:hAnsi="Times New Roman" w:cs="Times New Roman"/>
          <w:sz w:val="24"/>
          <w:szCs w:val="24"/>
        </w:rPr>
        <w:t>8</w:t>
      </w:r>
      <w:r w:rsidRPr="006D3C82">
        <w:rPr>
          <w:rFonts w:ascii="Times New Roman" w:eastAsia="Courier New" w:hAnsi="Times New Roman" w:cs="Times New Roman"/>
          <w:sz w:val="24"/>
          <w:szCs w:val="24"/>
        </w:rPr>
        <w:t xml:space="preserve"> году составила </w:t>
      </w:r>
      <w:r w:rsidR="00CD18E2" w:rsidRPr="006D3C82">
        <w:rPr>
          <w:rFonts w:ascii="Times New Roman" w:eastAsia="Courier New" w:hAnsi="Times New Roman" w:cs="Times New Roman"/>
          <w:sz w:val="24"/>
          <w:szCs w:val="24"/>
        </w:rPr>
        <w:t>9,6</w:t>
      </w:r>
      <w:r w:rsidRPr="006D3C82">
        <w:rPr>
          <w:rFonts w:ascii="Times New Roman" w:eastAsia="Courier New" w:hAnsi="Times New Roman" w:cs="Times New Roman"/>
          <w:sz w:val="24"/>
          <w:szCs w:val="24"/>
        </w:rPr>
        <w:t xml:space="preserve"> м</w:t>
      </w:r>
      <w:r w:rsidRPr="006D3C82">
        <w:rPr>
          <w:rFonts w:ascii="Times New Roman" w:eastAsia="Courier New" w:hAnsi="Times New Roman" w:cs="Times New Roman"/>
          <w:sz w:val="24"/>
          <w:szCs w:val="24"/>
          <w:vertAlign w:val="superscript"/>
        </w:rPr>
        <w:t>3</w:t>
      </w:r>
      <w:r w:rsidRPr="006D3C82">
        <w:rPr>
          <w:rFonts w:ascii="Times New Roman" w:eastAsia="Courier New" w:hAnsi="Times New Roman" w:cs="Times New Roman"/>
          <w:sz w:val="24"/>
          <w:szCs w:val="24"/>
        </w:rPr>
        <w:t xml:space="preserve"> на одного человека. </w:t>
      </w:r>
      <w:bookmarkStart w:id="1" w:name="_Hlk7169412"/>
      <w:r w:rsidRPr="006D3C82">
        <w:rPr>
          <w:rFonts w:ascii="Times New Roman" w:eastAsia="Courier New" w:hAnsi="Times New Roman" w:cs="Times New Roman"/>
          <w:sz w:val="24"/>
          <w:szCs w:val="24"/>
        </w:rPr>
        <w:t>На период 201</w:t>
      </w:r>
      <w:r w:rsidR="00CD18E2" w:rsidRPr="006D3C82">
        <w:rPr>
          <w:rFonts w:ascii="Times New Roman" w:eastAsia="Courier New" w:hAnsi="Times New Roman" w:cs="Times New Roman"/>
          <w:sz w:val="24"/>
          <w:szCs w:val="24"/>
        </w:rPr>
        <w:t>9</w:t>
      </w:r>
      <w:r w:rsidRPr="006D3C82">
        <w:rPr>
          <w:rFonts w:ascii="Times New Roman" w:eastAsia="Courier New" w:hAnsi="Times New Roman" w:cs="Times New Roman"/>
          <w:sz w:val="24"/>
          <w:szCs w:val="24"/>
        </w:rPr>
        <w:t>-202</w:t>
      </w:r>
      <w:r w:rsidR="00CD18E2" w:rsidRPr="006D3C82">
        <w:rPr>
          <w:rFonts w:ascii="Times New Roman" w:eastAsia="Courier New" w:hAnsi="Times New Roman" w:cs="Times New Roman"/>
          <w:sz w:val="24"/>
          <w:szCs w:val="24"/>
        </w:rPr>
        <w:t>1</w:t>
      </w:r>
      <w:r w:rsidRPr="006D3C82">
        <w:rPr>
          <w:rFonts w:ascii="Times New Roman" w:eastAsia="Courier New" w:hAnsi="Times New Roman" w:cs="Times New Roman"/>
          <w:sz w:val="24"/>
          <w:szCs w:val="24"/>
        </w:rPr>
        <w:t xml:space="preserve"> гг. ожидается сохранение данной величины.</w:t>
      </w:r>
      <w:bookmarkEnd w:id="1"/>
    </w:p>
    <w:p w14:paraId="7C6298A7" w14:textId="3B57C838" w:rsidR="006025C4" w:rsidRPr="00C0665A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8DC4B" w14:textId="3617FBD1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246135" w14:textId="77777777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C85D5E" w14:textId="77777777" w:rsidR="006025C4" w:rsidRPr="006025C4" w:rsidRDefault="006025C4" w:rsidP="006025C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Глава муниципального района – </w:t>
      </w:r>
    </w:p>
    <w:p w14:paraId="558D6ACD" w14:textId="77777777" w:rsidR="006025C4" w:rsidRPr="006025C4" w:rsidRDefault="006025C4" w:rsidP="006025C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глава администрации Кудымкарского </w:t>
      </w:r>
    </w:p>
    <w:p w14:paraId="38B28357" w14:textId="48FAF103" w:rsidR="006025C4" w:rsidRPr="006025C4" w:rsidRDefault="006025C4" w:rsidP="006025C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                               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6025C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В.А. Климов</w:t>
      </w:r>
    </w:p>
    <w:p w14:paraId="770B339F" w14:textId="77777777" w:rsidR="006025C4" w:rsidRPr="006025C4" w:rsidRDefault="006025C4" w:rsidP="006025C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25C4" w:rsidRPr="0060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4CE"/>
    <w:multiLevelType w:val="hybridMultilevel"/>
    <w:tmpl w:val="8B9458FA"/>
    <w:lvl w:ilvl="0" w:tplc="F25A2D4E">
      <w:start w:val="13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D4A82"/>
    <w:multiLevelType w:val="hybridMultilevel"/>
    <w:tmpl w:val="8D707CA2"/>
    <w:lvl w:ilvl="0" w:tplc="71681E1C">
      <w:start w:val="13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041"/>
    <w:multiLevelType w:val="hybridMultilevel"/>
    <w:tmpl w:val="3C48067C"/>
    <w:lvl w:ilvl="0" w:tplc="982A0E1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BA2052"/>
    <w:multiLevelType w:val="hybridMultilevel"/>
    <w:tmpl w:val="E72C03C4"/>
    <w:lvl w:ilvl="0" w:tplc="5484DC5A">
      <w:start w:val="13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5F3"/>
    <w:multiLevelType w:val="hybridMultilevel"/>
    <w:tmpl w:val="2AA8C720"/>
    <w:lvl w:ilvl="0" w:tplc="BB5A06F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B2C1A"/>
    <w:multiLevelType w:val="hybridMultilevel"/>
    <w:tmpl w:val="8D707CA2"/>
    <w:lvl w:ilvl="0" w:tplc="71681E1C">
      <w:start w:val="13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5C2"/>
    <w:multiLevelType w:val="hybridMultilevel"/>
    <w:tmpl w:val="26DC4F42"/>
    <w:lvl w:ilvl="0" w:tplc="C8469CF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7465130F"/>
    <w:multiLevelType w:val="hybridMultilevel"/>
    <w:tmpl w:val="9A9CD208"/>
    <w:lvl w:ilvl="0" w:tplc="3B56C866">
      <w:start w:val="1"/>
      <w:numFmt w:val="decimal"/>
      <w:lvlText w:val="%1."/>
      <w:lvlJc w:val="left"/>
      <w:pPr>
        <w:ind w:left="106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2"/>
    <w:rsid w:val="000548BD"/>
    <w:rsid w:val="00055268"/>
    <w:rsid w:val="00097580"/>
    <w:rsid w:val="000E51C5"/>
    <w:rsid w:val="000F52B2"/>
    <w:rsid w:val="00113152"/>
    <w:rsid w:val="00146F05"/>
    <w:rsid w:val="001C4610"/>
    <w:rsid w:val="00221479"/>
    <w:rsid w:val="002259F6"/>
    <w:rsid w:val="00240CD2"/>
    <w:rsid w:val="0024436D"/>
    <w:rsid w:val="002E26BA"/>
    <w:rsid w:val="00354D38"/>
    <w:rsid w:val="003E2DA1"/>
    <w:rsid w:val="00422D7B"/>
    <w:rsid w:val="004B1A51"/>
    <w:rsid w:val="0050341A"/>
    <w:rsid w:val="00536E31"/>
    <w:rsid w:val="00571C42"/>
    <w:rsid w:val="005A3EC6"/>
    <w:rsid w:val="005D0976"/>
    <w:rsid w:val="006025C4"/>
    <w:rsid w:val="00631A18"/>
    <w:rsid w:val="006410F7"/>
    <w:rsid w:val="006A6B1F"/>
    <w:rsid w:val="006B20E6"/>
    <w:rsid w:val="006D3C82"/>
    <w:rsid w:val="006E2FF6"/>
    <w:rsid w:val="006E40CD"/>
    <w:rsid w:val="007056D2"/>
    <w:rsid w:val="00767D48"/>
    <w:rsid w:val="007F3986"/>
    <w:rsid w:val="00876D09"/>
    <w:rsid w:val="00880EFA"/>
    <w:rsid w:val="008B3B34"/>
    <w:rsid w:val="008E7049"/>
    <w:rsid w:val="009173EB"/>
    <w:rsid w:val="00947161"/>
    <w:rsid w:val="0094784C"/>
    <w:rsid w:val="00970C06"/>
    <w:rsid w:val="00994362"/>
    <w:rsid w:val="00A22876"/>
    <w:rsid w:val="00A37DB2"/>
    <w:rsid w:val="00A504E4"/>
    <w:rsid w:val="00A8141C"/>
    <w:rsid w:val="00B647A4"/>
    <w:rsid w:val="00B95874"/>
    <w:rsid w:val="00BE1043"/>
    <w:rsid w:val="00BF1A88"/>
    <w:rsid w:val="00C0665A"/>
    <w:rsid w:val="00C0740C"/>
    <w:rsid w:val="00C422AC"/>
    <w:rsid w:val="00C840CA"/>
    <w:rsid w:val="00C86A40"/>
    <w:rsid w:val="00C8733F"/>
    <w:rsid w:val="00CD18E2"/>
    <w:rsid w:val="00D801C5"/>
    <w:rsid w:val="00DF4A67"/>
    <w:rsid w:val="00E12772"/>
    <w:rsid w:val="00E5147E"/>
    <w:rsid w:val="00E91077"/>
    <w:rsid w:val="00EA4306"/>
    <w:rsid w:val="00F134E7"/>
    <w:rsid w:val="00F22FD1"/>
    <w:rsid w:val="00F53912"/>
    <w:rsid w:val="00F84671"/>
    <w:rsid w:val="00FA7F37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07A"/>
  <w15:chartTrackingRefBased/>
  <w15:docId w15:val="{B011BBC6-2AC8-4A0D-84F3-FA7C8CEA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EC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A3EC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9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F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2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10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15</cp:revision>
  <cp:lastPrinted>2019-04-26T06:50:00Z</cp:lastPrinted>
  <dcterms:created xsi:type="dcterms:W3CDTF">2018-04-28T06:44:00Z</dcterms:created>
  <dcterms:modified xsi:type="dcterms:W3CDTF">2019-04-29T10:14:00Z</dcterms:modified>
</cp:coreProperties>
</file>